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5F0A9A">
      <w:pPr>
        <w:snapToGrid w:val="0"/>
        <w:spacing w:line="580" w:lineRule="exact"/>
        <w:rPr>
          <w:rFonts w:hint="eastAsia" w:ascii="方正小标宋_GBK" w:hAnsi="方正小标宋_GBK" w:eastAsia="方正小标宋_GBK" w:cs="方正小标宋_GBK"/>
          <w:color w:val="000000"/>
          <w:sz w:val="44"/>
          <w:szCs w:val="44"/>
        </w:rPr>
      </w:pPr>
    </w:p>
    <w:p w14:paraId="52761054">
      <w:pPr>
        <w:snapToGrid w:val="0"/>
        <w:spacing w:line="580" w:lineRule="exact"/>
        <w:jc w:val="center"/>
        <w:rPr>
          <w:rFonts w:hint="eastAsia" w:ascii="方正小标宋_GBK" w:hAnsi="方正小标宋_GBK" w:eastAsia="方正小标宋_GBK" w:cs="方正小标宋_GBK"/>
          <w:color w:val="000000"/>
          <w:sz w:val="36"/>
          <w:szCs w:val="36"/>
          <w:lang w:eastAsia="zh-CN"/>
        </w:rPr>
      </w:pPr>
      <w:r>
        <w:rPr>
          <w:rFonts w:hint="eastAsia" w:ascii="方正小标宋_GBK" w:hAnsi="方正小标宋_GBK" w:eastAsia="方正小标宋_GBK" w:cs="方正小标宋_GBK"/>
          <w:color w:val="000000"/>
          <w:sz w:val="44"/>
          <w:szCs w:val="44"/>
          <w:lang w:eastAsia="zh-CN"/>
        </w:rPr>
        <w:t>南京市</w:t>
      </w:r>
      <w:r>
        <w:rPr>
          <w:rFonts w:hint="eastAsia" w:ascii="方正小标宋_GBK" w:hAnsi="方正小标宋_GBK" w:eastAsia="方正小标宋_GBK" w:cs="方正小标宋_GBK"/>
          <w:color w:val="000000"/>
          <w:sz w:val="44"/>
          <w:szCs w:val="44"/>
        </w:rPr>
        <w:t>工业和商用电热食品加工设备产品质量监督抽查实施细则</w:t>
      </w:r>
      <w:r>
        <w:rPr>
          <w:rFonts w:hint="eastAsia" w:ascii="方正小标宋_GBK" w:hAnsi="方正小标宋_GBK" w:eastAsia="方正小标宋_GBK" w:cs="方正小标宋_GBK"/>
          <w:color w:val="000000"/>
          <w:sz w:val="44"/>
          <w:szCs w:val="44"/>
          <w:lang w:eastAsia="zh-CN"/>
        </w:rPr>
        <w:t>（202</w:t>
      </w:r>
      <w:r>
        <w:rPr>
          <w:rFonts w:hint="eastAsia" w:ascii="方正小标宋_GBK" w:hAnsi="方正小标宋_GBK" w:eastAsia="方正小标宋_GBK" w:cs="方正小标宋_GBK"/>
          <w:color w:val="000000"/>
          <w:sz w:val="44"/>
          <w:szCs w:val="44"/>
          <w:lang w:val="en-US" w:eastAsia="zh-CN"/>
        </w:rPr>
        <w:t>6</w:t>
      </w:r>
      <w:r>
        <w:rPr>
          <w:rFonts w:hint="eastAsia" w:ascii="方正小标宋_GBK" w:hAnsi="方正小标宋_GBK" w:eastAsia="方正小标宋_GBK" w:cs="方正小标宋_GBK"/>
          <w:color w:val="000000"/>
          <w:sz w:val="44"/>
          <w:szCs w:val="44"/>
          <w:lang w:eastAsia="zh-CN"/>
        </w:rPr>
        <w:t>年版）</w:t>
      </w:r>
    </w:p>
    <w:p w14:paraId="7F3C4E60">
      <w:pPr>
        <w:spacing w:line="580" w:lineRule="exact"/>
        <w:jc w:val="center"/>
        <w:rPr>
          <w:rFonts w:hint="eastAsia" w:ascii="宋体" w:hAnsi="宋体" w:cs="宋体"/>
          <w:b/>
          <w:sz w:val="36"/>
          <w:szCs w:val="36"/>
        </w:rPr>
      </w:pPr>
    </w:p>
    <w:p w14:paraId="6AD48E94">
      <w:pPr>
        <w:spacing w:line="60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ascii="Times New Roman" w:hAnsi="Times New Roman" w:eastAsia="黑体"/>
          <w:bCs/>
          <w:sz w:val="32"/>
          <w:szCs w:val="32"/>
        </w:rPr>
        <w:t>1.</w:t>
      </w:r>
      <w:r>
        <w:rPr>
          <w:rFonts w:hint="eastAsia" w:ascii="方正黑体_GBK" w:hAnsi="方正仿宋_GBK" w:eastAsia="方正黑体_GBK" w:cs="方正仿宋_GBK"/>
          <w:kern w:val="0"/>
          <w:sz w:val="32"/>
          <w:szCs w:val="32"/>
          <w:shd w:val="clear" w:color="auto" w:fill="FFFFFF"/>
          <w:lang w:bidi="ar"/>
        </w:rPr>
        <w:t>范围</w:t>
      </w:r>
    </w:p>
    <w:p w14:paraId="66137677">
      <w:pPr>
        <w:spacing w:line="560" w:lineRule="exact"/>
        <w:ind w:firstLine="640" w:firstLineChars="200"/>
        <w:rPr>
          <w:rFonts w:hint="eastAsia" w:ascii="仿宋_GB2312" w:hAnsi="宋体" w:eastAsia="仿宋_GB2312"/>
          <w:sz w:val="30"/>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eastAsia="zh-CN"/>
        </w:rPr>
        <w:t>南京市市场监督管理局</w:t>
      </w:r>
      <w:r>
        <w:rPr>
          <w:rFonts w:hint="eastAsia" w:ascii="方正仿宋_GBK" w:hAnsi="方正仿宋_GBK" w:eastAsia="方正仿宋_GBK" w:cs="方正仿宋_GBK"/>
          <w:sz w:val="32"/>
          <w:szCs w:val="32"/>
        </w:rPr>
        <w:t>组织的</w:t>
      </w:r>
      <w:r>
        <w:rPr>
          <w:rFonts w:hint="eastAsia" w:ascii="仿宋" w:hAnsi="仿宋" w:eastAsia="仿宋" w:cs="仿宋"/>
          <w:color w:val="000000"/>
          <w:sz w:val="32"/>
          <w:szCs w:val="32"/>
        </w:rPr>
        <w:t>工业和商用电热食品加工设备</w:t>
      </w:r>
      <w:r>
        <w:rPr>
          <w:rFonts w:hint="eastAsia" w:ascii="仿宋" w:hAnsi="仿宋" w:eastAsia="仿宋" w:cs="仿宋"/>
          <w:sz w:val="32"/>
          <w:szCs w:val="32"/>
        </w:rPr>
        <w:t>产品质量监督抽查检验。本</w:t>
      </w:r>
      <w:r>
        <w:rPr>
          <w:rFonts w:hint="eastAsia" w:ascii="方正仿宋_GBK" w:hAnsi="方正仿宋_GBK" w:eastAsia="方正仿宋_GBK" w:cs="方正仿宋_GBK"/>
          <w:sz w:val="32"/>
          <w:szCs w:val="32"/>
        </w:rPr>
        <w:t>细则规定了此产品的抽样方法、检验依据、检验项目、检验方法、判定原则、异议处理及复检。</w:t>
      </w:r>
    </w:p>
    <w:p w14:paraId="319E446F">
      <w:pPr>
        <w:spacing w:line="600" w:lineRule="exact"/>
        <w:ind w:firstLine="640" w:firstLineChars="200"/>
        <w:rPr>
          <w:rFonts w:hint="eastAsia" w:ascii="Times New Roman" w:hAnsi="Times New Roman" w:eastAsia="黑体" w:cs="Times New Roman"/>
          <w:bCs/>
          <w:sz w:val="32"/>
          <w:szCs w:val="32"/>
        </w:rPr>
      </w:pPr>
      <w:r>
        <w:rPr>
          <w:rFonts w:hint="eastAsia" w:ascii="Times New Roman" w:hAnsi="Times New Roman" w:eastAsia="黑体" w:cs="Times New Roman"/>
          <w:bCs/>
          <w:sz w:val="32"/>
          <w:szCs w:val="32"/>
          <w:lang w:val="en-US" w:eastAsia="zh-CN"/>
        </w:rPr>
        <w:t>2.</w:t>
      </w:r>
      <w:r>
        <w:rPr>
          <w:rFonts w:hint="eastAsia" w:ascii="Times New Roman" w:hAnsi="Times New Roman" w:eastAsia="黑体" w:cs="Times New Roman"/>
          <w:bCs/>
          <w:sz w:val="32"/>
          <w:szCs w:val="32"/>
        </w:rPr>
        <w:t>抽样方法</w:t>
      </w:r>
    </w:p>
    <w:p w14:paraId="66228CA9">
      <w:pPr>
        <w:spacing w:line="580" w:lineRule="exact"/>
        <w:ind w:firstLine="643" w:firstLineChars="200"/>
        <w:rPr>
          <w:rFonts w:hint="eastAsia" w:ascii="Times New Roman" w:hAnsi="Times New Roman" w:eastAsia="方正仿宋_GBK"/>
          <w:b/>
          <w:bCs/>
          <w:kern w:val="0"/>
          <w:sz w:val="32"/>
          <w:szCs w:val="32"/>
          <w:shd w:val="clear" w:color="auto" w:fill="FFFFFF"/>
          <w:lang w:bidi="ar"/>
        </w:rPr>
      </w:pPr>
      <w:r>
        <w:rPr>
          <w:rFonts w:hint="eastAsia" w:ascii="Times New Roman" w:hAnsi="Times New Roman" w:eastAsia="方正仿宋_GBK"/>
          <w:b/>
          <w:bCs/>
          <w:kern w:val="0"/>
          <w:sz w:val="32"/>
          <w:szCs w:val="32"/>
          <w:shd w:val="clear" w:color="auto" w:fill="FFFFFF"/>
          <w:lang w:bidi="ar"/>
        </w:rPr>
        <w:t>2.1生产企业</w:t>
      </w:r>
      <w:r>
        <w:rPr>
          <w:rFonts w:hint="eastAsia" w:ascii="方正仿宋_GBK" w:hAnsi="方正仿宋_GBK" w:eastAsia="方正仿宋_GBK" w:cs="方正仿宋_GBK"/>
          <w:b/>
          <w:bCs/>
          <w:sz w:val="32"/>
          <w:szCs w:val="32"/>
        </w:rPr>
        <w:t>抽样</w:t>
      </w:r>
    </w:p>
    <w:p w14:paraId="0EBC2FB6">
      <w:pPr>
        <w:spacing w:line="580" w:lineRule="exact"/>
        <w:ind w:firstLine="640" w:firstLineChars="200"/>
        <w:rPr>
          <w:rFonts w:hint="eastAsia" w:ascii="Times New Roman" w:hAnsi="Times New Roman"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lang w:eastAsia="zh-CN"/>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方正仿宋_GBK" w:hAnsi="方正仿宋_GBK" w:eastAsia="方正仿宋_GBK" w:cs="方正仿宋_GBK"/>
          <w:sz w:val="32"/>
          <w:szCs w:val="32"/>
          <w:lang w:eastAsia="zh-CN"/>
        </w:rPr>
        <w:t>。抽样过程均需拍照留证。一经抽样，立即封样，任何人不得调换。</w:t>
      </w:r>
    </w:p>
    <w:p w14:paraId="7BF6B4B0">
      <w:pPr>
        <w:spacing w:line="580" w:lineRule="exact"/>
        <w:ind w:firstLine="640" w:firstLineChars="200"/>
        <w:rPr>
          <w:rFonts w:hint="eastAsia" w:ascii="宋体" w:hAnsi="宋体" w:cs="宋体"/>
          <w:b/>
          <w:bCs/>
          <w:sz w:val="32"/>
          <w:szCs w:val="32"/>
        </w:rPr>
      </w:pPr>
      <w:r>
        <w:rPr>
          <w:rFonts w:hint="eastAsia" w:ascii="Times New Roman" w:hAnsi="Times New Roman" w:eastAsia="方正仿宋_GBK"/>
          <w:kern w:val="0"/>
          <w:sz w:val="32"/>
          <w:szCs w:val="32"/>
          <w:shd w:val="clear" w:color="auto" w:fill="FFFFFF"/>
          <w:lang w:bidi="ar"/>
        </w:rPr>
        <w:t>3.</w:t>
      </w:r>
      <w:r>
        <w:rPr>
          <w:rFonts w:hint="eastAsia" w:ascii="方正黑体_GBK" w:hAnsi="方正仿宋_GBK" w:eastAsia="方正黑体_GBK" w:cs="方正仿宋_GBK"/>
          <w:kern w:val="0"/>
          <w:sz w:val="32"/>
          <w:szCs w:val="32"/>
          <w:shd w:val="clear" w:color="auto" w:fill="FFFFFF"/>
          <w:lang w:bidi="ar"/>
        </w:rPr>
        <w:t>检验依据</w:t>
      </w:r>
    </w:p>
    <w:p w14:paraId="70BA026F">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 xml:space="preserve">表1  </w:t>
      </w:r>
      <w:r>
        <w:rPr>
          <w:rFonts w:hint="eastAsia" w:ascii="方正仿宋_GBK" w:hAnsi="方正仿宋_GBK" w:eastAsia="方正仿宋_GBK" w:cs="方正仿宋_GBK"/>
          <w:color w:val="000000"/>
          <w:sz w:val="28"/>
          <w:szCs w:val="28"/>
        </w:rPr>
        <w:t>检验项目</w:t>
      </w:r>
    </w:p>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70"/>
        <w:gridCol w:w="2285"/>
        <w:gridCol w:w="2802"/>
        <w:gridCol w:w="3092"/>
      </w:tblGrid>
      <w:tr w14:paraId="5B4F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3" w:hRule="atLeast"/>
          <w:tblHeader/>
        </w:trPr>
        <w:tc>
          <w:tcPr>
            <w:tcW w:w="770" w:type="dxa"/>
            <w:tcMar>
              <w:top w:w="15" w:type="dxa"/>
              <w:left w:w="15" w:type="dxa"/>
              <w:bottom w:w="0" w:type="dxa"/>
              <w:right w:w="15" w:type="dxa"/>
            </w:tcMar>
            <w:vAlign w:val="center"/>
          </w:tcPr>
          <w:p w14:paraId="6B7656BA">
            <w:pPr>
              <w:keepNext w:val="0"/>
              <w:keepLines w:val="0"/>
              <w:suppressLineNumbers w:val="0"/>
              <w:spacing w:before="0" w:beforeAutospacing="0" w:after="0" w:afterAutospacing="0"/>
              <w:ind w:left="0" w:right="0"/>
              <w:contextualSpacing/>
              <w:jc w:val="center"/>
              <w:rPr>
                <w:rFonts w:hint="default" w:ascii="宋体" w:hAnsi="宋体" w:cs="宋体"/>
                <w:color w:val="auto"/>
                <w:kern w:val="0"/>
                <w:sz w:val="22"/>
              </w:rPr>
            </w:pPr>
            <w:r>
              <w:rPr>
                <w:rFonts w:hint="eastAsia" w:ascii="宋体" w:hAnsi="宋体" w:cs="宋体"/>
                <w:color w:val="auto"/>
                <w:kern w:val="0"/>
                <w:sz w:val="22"/>
              </w:rPr>
              <w:t>序号</w:t>
            </w:r>
          </w:p>
        </w:tc>
        <w:tc>
          <w:tcPr>
            <w:tcW w:w="2285" w:type="dxa"/>
            <w:tcMar>
              <w:top w:w="15" w:type="dxa"/>
              <w:left w:w="15" w:type="dxa"/>
              <w:bottom w:w="0" w:type="dxa"/>
              <w:right w:w="15" w:type="dxa"/>
            </w:tcMar>
            <w:vAlign w:val="center"/>
          </w:tcPr>
          <w:p w14:paraId="4BE59917">
            <w:pPr>
              <w:keepNext w:val="0"/>
              <w:keepLines w:val="0"/>
              <w:suppressLineNumbers w:val="0"/>
              <w:spacing w:before="0" w:beforeAutospacing="0" w:after="0" w:afterAutospacing="0"/>
              <w:ind w:left="0" w:right="0"/>
              <w:contextualSpacing/>
              <w:jc w:val="center"/>
              <w:rPr>
                <w:rFonts w:hint="default" w:ascii="宋体" w:hAnsi="宋体" w:cs="宋体"/>
                <w:color w:val="auto"/>
                <w:kern w:val="0"/>
                <w:sz w:val="22"/>
              </w:rPr>
            </w:pPr>
            <w:r>
              <w:rPr>
                <w:rFonts w:hint="eastAsia" w:ascii="宋体" w:hAnsi="宋体" w:cs="宋体"/>
                <w:color w:val="auto"/>
                <w:kern w:val="0"/>
                <w:sz w:val="22"/>
              </w:rPr>
              <w:t>检验检测项目</w:t>
            </w:r>
          </w:p>
        </w:tc>
        <w:tc>
          <w:tcPr>
            <w:tcW w:w="2802" w:type="dxa"/>
            <w:tcMar>
              <w:top w:w="15" w:type="dxa"/>
              <w:left w:w="15" w:type="dxa"/>
              <w:bottom w:w="0" w:type="dxa"/>
              <w:right w:w="15" w:type="dxa"/>
            </w:tcMar>
            <w:vAlign w:val="center"/>
          </w:tcPr>
          <w:p w14:paraId="5EA67D19">
            <w:pPr>
              <w:keepNext w:val="0"/>
              <w:keepLines w:val="0"/>
              <w:suppressLineNumbers w:val="0"/>
              <w:spacing w:before="0" w:beforeAutospacing="0" w:after="0" w:afterAutospacing="0"/>
              <w:ind w:left="0" w:right="0"/>
              <w:contextualSpacing/>
              <w:jc w:val="center"/>
              <w:rPr>
                <w:rFonts w:hint="default" w:ascii="宋体" w:hAnsi="宋体" w:cs="宋体"/>
                <w:color w:val="auto"/>
                <w:kern w:val="0"/>
                <w:sz w:val="22"/>
              </w:rPr>
            </w:pPr>
            <w:r>
              <w:rPr>
                <w:rFonts w:hint="eastAsia" w:ascii="宋体" w:hAnsi="宋体" w:cs="宋体"/>
                <w:color w:val="auto"/>
                <w:kern w:val="0"/>
                <w:sz w:val="22"/>
              </w:rPr>
              <w:t>检验检测依据</w:t>
            </w:r>
          </w:p>
        </w:tc>
        <w:tc>
          <w:tcPr>
            <w:tcW w:w="3092" w:type="dxa"/>
            <w:tcMar>
              <w:top w:w="15" w:type="dxa"/>
              <w:left w:w="15" w:type="dxa"/>
              <w:bottom w:w="0" w:type="dxa"/>
              <w:right w:w="15" w:type="dxa"/>
            </w:tcMar>
            <w:vAlign w:val="center"/>
          </w:tcPr>
          <w:p w14:paraId="75B3EA6C">
            <w:pPr>
              <w:keepNext w:val="0"/>
              <w:keepLines w:val="0"/>
              <w:suppressLineNumbers w:val="0"/>
              <w:spacing w:before="0" w:beforeAutospacing="0" w:after="0" w:afterAutospacing="0"/>
              <w:ind w:left="0" w:right="0"/>
              <w:contextualSpacing/>
              <w:jc w:val="center"/>
              <w:rPr>
                <w:rFonts w:hint="default" w:ascii="宋体" w:hAnsi="宋体" w:cs="宋体"/>
                <w:color w:val="auto"/>
                <w:kern w:val="0"/>
                <w:sz w:val="22"/>
              </w:rPr>
            </w:pPr>
            <w:r>
              <w:rPr>
                <w:rFonts w:hint="eastAsia" w:ascii="宋体" w:hAnsi="宋体" w:cs="宋体"/>
                <w:color w:val="auto"/>
                <w:kern w:val="0"/>
                <w:sz w:val="22"/>
              </w:rPr>
              <w:t>检验检测方法</w:t>
            </w:r>
          </w:p>
        </w:tc>
      </w:tr>
      <w:tr w14:paraId="0BCDB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tcMar>
              <w:top w:w="15" w:type="dxa"/>
              <w:left w:w="15" w:type="dxa"/>
              <w:bottom w:w="0" w:type="dxa"/>
              <w:right w:w="15" w:type="dxa"/>
            </w:tcMar>
            <w:vAlign w:val="center"/>
          </w:tcPr>
          <w:p w14:paraId="011C109A">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lang w:eastAsia="zh-CN"/>
              </w:rPr>
            </w:pPr>
            <w:r>
              <w:rPr>
                <w:rFonts w:hint="eastAsia" w:ascii="宋体" w:hAnsi="宋体" w:cs="宋体"/>
                <w:color w:val="auto"/>
                <w:kern w:val="0"/>
                <w:sz w:val="22"/>
                <w:lang w:eastAsia="zh-CN"/>
              </w:rPr>
              <w:t>1</w:t>
            </w:r>
          </w:p>
        </w:tc>
        <w:tc>
          <w:tcPr>
            <w:tcW w:w="2285" w:type="dxa"/>
            <w:tcMar>
              <w:top w:w="15" w:type="dxa"/>
              <w:left w:w="15" w:type="dxa"/>
              <w:bottom w:w="0" w:type="dxa"/>
              <w:right w:w="15" w:type="dxa"/>
            </w:tcMar>
            <w:vAlign w:val="center"/>
          </w:tcPr>
          <w:p w14:paraId="24C20C76">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rPr>
            </w:pPr>
            <w:r>
              <w:rPr>
                <w:rFonts w:hint="eastAsia" w:ascii="宋体" w:hAnsi="宋体" w:eastAsia="宋体" w:cs="宋体"/>
                <w:color w:val="auto"/>
                <w:kern w:val="0"/>
                <w:sz w:val="22"/>
              </w:rPr>
              <w:t>对触及带电部件的防护</w:t>
            </w:r>
          </w:p>
        </w:tc>
        <w:tc>
          <w:tcPr>
            <w:tcW w:w="2802" w:type="dxa"/>
            <w:vMerge w:val="restart"/>
            <w:tcMar>
              <w:top w:w="15" w:type="dxa"/>
              <w:left w:w="15" w:type="dxa"/>
              <w:bottom w:w="0" w:type="dxa"/>
              <w:right w:w="15" w:type="dxa"/>
            </w:tcMar>
            <w:vAlign w:val="center"/>
          </w:tcPr>
          <w:p w14:paraId="60D8017D">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rPr>
            </w:pPr>
            <w:r>
              <w:rPr>
                <w:rFonts w:hint="eastAsia" w:ascii="宋体" w:hAnsi="宋体" w:eastAsia="宋体" w:cs="宋体"/>
                <w:color w:val="auto"/>
                <w:kern w:val="0"/>
                <w:sz w:val="22"/>
              </w:rPr>
              <w:t>GB 4706.1-2005、</w:t>
            </w:r>
          </w:p>
          <w:p w14:paraId="4C8126EE">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rPr>
            </w:pPr>
            <w:r>
              <w:rPr>
                <w:rFonts w:hint="eastAsia" w:ascii="宋体" w:hAnsi="宋体" w:eastAsia="宋体" w:cs="宋体"/>
                <w:color w:val="auto"/>
                <w:kern w:val="0"/>
                <w:sz w:val="22"/>
              </w:rPr>
              <w:t>GB</w:t>
            </w:r>
            <w:r>
              <w:rPr>
                <w:rFonts w:hint="eastAsia" w:ascii="宋体" w:hAnsi="宋体" w:eastAsia="宋体" w:cs="宋体"/>
                <w:color w:val="auto"/>
                <w:kern w:val="0"/>
                <w:sz w:val="22"/>
                <w:lang w:val="en-US" w:eastAsia="zh-CN"/>
              </w:rPr>
              <w:t xml:space="preserve"> </w:t>
            </w:r>
            <w:r>
              <w:rPr>
                <w:rFonts w:hint="eastAsia" w:ascii="宋体" w:hAnsi="宋体" w:eastAsia="宋体" w:cs="宋体"/>
                <w:color w:val="auto"/>
                <w:kern w:val="0"/>
                <w:sz w:val="22"/>
              </w:rPr>
              <w:t>4706系列相应特殊标准</w:t>
            </w:r>
          </w:p>
          <w:p w14:paraId="13380710">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rPr>
            </w:pPr>
            <w:r>
              <w:rPr>
                <w:rFonts w:hint="eastAsia" w:ascii="宋体" w:hAnsi="宋体" w:eastAsia="宋体" w:cs="宋体"/>
                <w:color w:val="auto"/>
                <w:kern w:val="0"/>
                <w:sz w:val="22"/>
              </w:rPr>
              <w:t>GB</w:t>
            </w:r>
            <w:r>
              <w:rPr>
                <w:rFonts w:hint="eastAsia" w:ascii="宋体" w:hAnsi="宋体" w:eastAsia="宋体" w:cs="宋体"/>
                <w:color w:val="auto"/>
                <w:kern w:val="0"/>
                <w:sz w:val="22"/>
                <w:lang w:val="en-US" w:eastAsia="zh-CN"/>
              </w:rPr>
              <w:t xml:space="preserve">/T </w:t>
            </w:r>
            <w:r>
              <w:rPr>
                <w:rFonts w:hint="eastAsia" w:ascii="宋体" w:hAnsi="宋体" w:eastAsia="宋体" w:cs="宋体"/>
                <w:color w:val="auto"/>
                <w:kern w:val="0"/>
                <w:sz w:val="22"/>
              </w:rPr>
              <w:t>4706.1-20</w:t>
            </w:r>
            <w:r>
              <w:rPr>
                <w:rFonts w:hint="eastAsia" w:ascii="宋体" w:hAnsi="宋体" w:eastAsia="宋体" w:cs="宋体"/>
                <w:color w:val="auto"/>
                <w:kern w:val="0"/>
                <w:sz w:val="22"/>
                <w:lang w:val="en-US" w:eastAsia="zh-CN"/>
              </w:rPr>
              <w:t>24</w:t>
            </w:r>
            <w:r>
              <w:rPr>
                <w:rFonts w:hint="eastAsia" w:ascii="宋体" w:hAnsi="宋体" w:eastAsia="宋体" w:cs="宋体"/>
                <w:color w:val="auto"/>
                <w:kern w:val="0"/>
                <w:sz w:val="22"/>
              </w:rPr>
              <w:t>、</w:t>
            </w:r>
          </w:p>
          <w:p w14:paraId="5381629E">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rPr>
            </w:pPr>
            <w:r>
              <w:rPr>
                <w:rFonts w:hint="eastAsia" w:ascii="宋体" w:hAnsi="宋体" w:eastAsia="宋体" w:cs="宋体"/>
                <w:color w:val="auto"/>
                <w:kern w:val="0"/>
                <w:sz w:val="22"/>
              </w:rPr>
              <w:t>GB</w:t>
            </w:r>
            <w:r>
              <w:rPr>
                <w:rFonts w:hint="eastAsia" w:ascii="宋体" w:hAnsi="宋体" w:eastAsia="宋体" w:cs="宋体"/>
                <w:color w:val="auto"/>
                <w:kern w:val="0"/>
                <w:sz w:val="22"/>
                <w:lang w:val="en-US" w:eastAsia="zh-CN"/>
              </w:rPr>
              <w:t xml:space="preserve">/T </w:t>
            </w:r>
            <w:r>
              <w:rPr>
                <w:rFonts w:hint="eastAsia" w:ascii="宋体" w:hAnsi="宋体" w:eastAsia="宋体" w:cs="宋体"/>
                <w:color w:val="auto"/>
                <w:kern w:val="0"/>
                <w:sz w:val="22"/>
              </w:rPr>
              <w:t>4706系列相应特殊标准</w:t>
            </w:r>
          </w:p>
          <w:p w14:paraId="61C8810E">
            <w:pPr>
              <w:keepNext w:val="0"/>
              <w:keepLines w:val="0"/>
              <w:suppressLineNumbers w:val="0"/>
              <w:spacing w:before="0" w:beforeAutospacing="0" w:after="0" w:afterAutospacing="0"/>
              <w:ind w:left="0" w:right="0"/>
              <w:contextualSpacing/>
              <w:jc w:val="center"/>
              <w:rPr>
                <w:rFonts w:hint="default" w:ascii="宋体" w:hAnsi="宋体" w:eastAsia="宋体" w:cs="宋体"/>
                <w:color w:val="auto"/>
                <w:kern w:val="0"/>
                <w:sz w:val="22"/>
              </w:rPr>
            </w:pPr>
            <w:r>
              <w:rPr>
                <w:rFonts w:hint="eastAsia" w:ascii="宋体" w:hAnsi="宋体" w:eastAsia="宋体" w:cs="宋体"/>
                <w:color w:val="auto"/>
                <w:kern w:val="0"/>
                <w:sz w:val="22"/>
              </w:rPr>
              <w:fldChar w:fldCharType="begin"/>
            </w:r>
            <w:r>
              <w:rPr>
                <w:rFonts w:hint="eastAsia" w:ascii="宋体" w:hAnsi="宋体" w:eastAsia="宋体" w:cs="宋体"/>
                <w:color w:val="auto"/>
                <w:kern w:val="0"/>
                <w:sz w:val="22"/>
              </w:rPr>
              <w:instrText xml:space="preserve"> HYPERLINK "http://pt.fjbz.org.cn:8060/standardsearch/StdInfo.aspx?id=2141565" \t "http://pt.fjbz.org.cn:8060/standardsearch/_blank" </w:instrText>
            </w:r>
            <w:r>
              <w:rPr>
                <w:rFonts w:hint="eastAsia" w:ascii="宋体" w:hAnsi="宋体" w:eastAsia="宋体" w:cs="宋体"/>
                <w:color w:val="auto"/>
                <w:kern w:val="0"/>
                <w:sz w:val="22"/>
              </w:rPr>
              <w:fldChar w:fldCharType="separate"/>
            </w:r>
            <w:r>
              <w:rPr>
                <w:rFonts w:hint="eastAsia" w:ascii="宋体" w:hAnsi="宋体" w:eastAsia="宋体" w:cs="宋体"/>
                <w:color w:val="auto"/>
                <w:kern w:val="0"/>
                <w:sz w:val="22"/>
              </w:rPr>
              <w:t>GB 44246-2024</w:t>
            </w:r>
            <w:r>
              <w:rPr>
                <w:rFonts w:hint="eastAsia" w:ascii="宋体" w:hAnsi="宋体" w:eastAsia="宋体" w:cs="宋体"/>
                <w:color w:val="auto"/>
                <w:kern w:val="0"/>
                <w:sz w:val="22"/>
              </w:rPr>
              <w:fldChar w:fldCharType="end"/>
            </w:r>
          </w:p>
        </w:tc>
        <w:tc>
          <w:tcPr>
            <w:tcW w:w="3092" w:type="dxa"/>
            <w:vMerge w:val="restart"/>
            <w:tcMar>
              <w:top w:w="15" w:type="dxa"/>
              <w:left w:w="15" w:type="dxa"/>
              <w:bottom w:w="0" w:type="dxa"/>
              <w:right w:w="15" w:type="dxa"/>
            </w:tcMar>
            <w:vAlign w:val="center"/>
          </w:tcPr>
          <w:p w14:paraId="73EE1E27">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rPr>
            </w:pPr>
            <w:r>
              <w:rPr>
                <w:rFonts w:hint="eastAsia" w:ascii="宋体" w:hAnsi="宋体" w:eastAsia="宋体" w:cs="宋体"/>
                <w:color w:val="auto"/>
                <w:kern w:val="0"/>
                <w:sz w:val="22"/>
              </w:rPr>
              <w:t>GB 4706.1-2005、</w:t>
            </w:r>
          </w:p>
          <w:p w14:paraId="41A4068E">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rPr>
            </w:pPr>
            <w:r>
              <w:rPr>
                <w:rFonts w:hint="eastAsia" w:ascii="宋体" w:hAnsi="宋体" w:eastAsia="宋体" w:cs="宋体"/>
                <w:color w:val="auto"/>
                <w:kern w:val="0"/>
                <w:sz w:val="22"/>
              </w:rPr>
              <w:t>GB</w:t>
            </w:r>
            <w:r>
              <w:rPr>
                <w:rFonts w:hint="eastAsia" w:ascii="宋体" w:hAnsi="宋体" w:eastAsia="宋体" w:cs="宋体"/>
                <w:color w:val="auto"/>
                <w:kern w:val="0"/>
                <w:sz w:val="22"/>
                <w:lang w:val="en-US" w:eastAsia="zh-CN"/>
              </w:rPr>
              <w:t xml:space="preserve"> </w:t>
            </w:r>
            <w:r>
              <w:rPr>
                <w:rFonts w:hint="eastAsia" w:ascii="宋体" w:hAnsi="宋体" w:eastAsia="宋体" w:cs="宋体"/>
                <w:color w:val="auto"/>
                <w:kern w:val="0"/>
                <w:sz w:val="22"/>
              </w:rPr>
              <w:t>4706系列相应特殊标准</w:t>
            </w:r>
          </w:p>
          <w:p w14:paraId="28FCED47">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rPr>
            </w:pPr>
            <w:r>
              <w:rPr>
                <w:rFonts w:hint="eastAsia" w:ascii="宋体" w:hAnsi="宋体" w:eastAsia="宋体" w:cs="宋体"/>
                <w:color w:val="auto"/>
                <w:kern w:val="0"/>
                <w:sz w:val="22"/>
              </w:rPr>
              <w:t>GB</w:t>
            </w:r>
            <w:r>
              <w:rPr>
                <w:rFonts w:hint="eastAsia" w:ascii="宋体" w:hAnsi="宋体" w:eastAsia="宋体" w:cs="宋体"/>
                <w:color w:val="auto"/>
                <w:kern w:val="0"/>
                <w:sz w:val="22"/>
                <w:lang w:val="en-US" w:eastAsia="zh-CN"/>
              </w:rPr>
              <w:t xml:space="preserve">/T </w:t>
            </w:r>
            <w:r>
              <w:rPr>
                <w:rFonts w:hint="eastAsia" w:ascii="宋体" w:hAnsi="宋体" w:eastAsia="宋体" w:cs="宋体"/>
                <w:color w:val="auto"/>
                <w:kern w:val="0"/>
                <w:sz w:val="22"/>
              </w:rPr>
              <w:t>4706.1-20</w:t>
            </w:r>
            <w:r>
              <w:rPr>
                <w:rFonts w:hint="eastAsia" w:ascii="宋体" w:hAnsi="宋体" w:eastAsia="宋体" w:cs="宋体"/>
                <w:color w:val="auto"/>
                <w:kern w:val="0"/>
                <w:sz w:val="22"/>
                <w:lang w:val="en-US" w:eastAsia="zh-CN"/>
              </w:rPr>
              <w:t>24</w:t>
            </w:r>
            <w:r>
              <w:rPr>
                <w:rFonts w:hint="eastAsia" w:ascii="宋体" w:hAnsi="宋体" w:eastAsia="宋体" w:cs="宋体"/>
                <w:color w:val="auto"/>
                <w:kern w:val="0"/>
                <w:sz w:val="22"/>
              </w:rPr>
              <w:t>、</w:t>
            </w:r>
          </w:p>
          <w:p w14:paraId="6C88538D">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rPr>
            </w:pPr>
            <w:r>
              <w:rPr>
                <w:rFonts w:hint="eastAsia" w:ascii="宋体" w:hAnsi="宋体" w:eastAsia="宋体" w:cs="宋体"/>
                <w:color w:val="auto"/>
                <w:kern w:val="0"/>
                <w:sz w:val="22"/>
              </w:rPr>
              <w:t>GB</w:t>
            </w:r>
            <w:r>
              <w:rPr>
                <w:rFonts w:hint="eastAsia" w:ascii="宋体" w:hAnsi="宋体" w:eastAsia="宋体" w:cs="宋体"/>
                <w:color w:val="auto"/>
                <w:kern w:val="0"/>
                <w:sz w:val="22"/>
                <w:lang w:val="en-US" w:eastAsia="zh-CN"/>
              </w:rPr>
              <w:t xml:space="preserve">/T </w:t>
            </w:r>
            <w:r>
              <w:rPr>
                <w:rFonts w:hint="eastAsia" w:ascii="宋体" w:hAnsi="宋体" w:eastAsia="宋体" w:cs="宋体"/>
                <w:color w:val="auto"/>
                <w:kern w:val="0"/>
                <w:sz w:val="22"/>
              </w:rPr>
              <w:t>4706系列相应特殊标准</w:t>
            </w:r>
          </w:p>
          <w:p w14:paraId="6127D811">
            <w:pPr>
              <w:keepNext w:val="0"/>
              <w:keepLines w:val="0"/>
              <w:suppressLineNumbers w:val="0"/>
              <w:spacing w:before="0" w:beforeAutospacing="0" w:after="0" w:afterAutospacing="0"/>
              <w:ind w:left="0" w:right="0"/>
              <w:contextualSpacing/>
              <w:jc w:val="center"/>
              <w:rPr>
                <w:rFonts w:hint="default" w:ascii="宋体" w:hAnsi="宋体" w:eastAsia="宋体" w:cs="宋体"/>
                <w:color w:val="auto"/>
                <w:kern w:val="0"/>
                <w:sz w:val="22"/>
              </w:rPr>
            </w:pPr>
            <w:r>
              <w:rPr>
                <w:rFonts w:hint="eastAsia" w:ascii="宋体" w:hAnsi="宋体" w:eastAsia="宋体" w:cs="宋体"/>
                <w:color w:val="auto"/>
                <w:kern w:val="0"/>
                <w:sz w:val="22"/>
              </w:rPr>
              <w:fldChar w:fldCharType="begin"/>
            </w:r>
            <w:r>
              <w:rPr>
                <w:rFonts w:hint="eastAsia" w:ascii="宋体" w:hAnsi="宋体" w:eastAsia="宋体" w:cs="宋体"/>
                <w:color w:val="auto"/>
                <w:kern w:val="0"/>
                <w:sz w:val="22"/>
              </w:rPr>
              <w:instrText xml:space="preserve"> HYPERLINK "http://pt.fjbz.org.cn:8060/standardsearch/StdInfo.aspx?id=2141565" \t "http://pt.fjbz.org.cn:8060/standardsearch/_blank" </w:instrText>
            </w:r>
            <w:r>
              <w:rPr>
                <w:rFonts w:hint="eastAsia" w:ascii="宋体" w:hAnsi="宋体" w:eastAsia="宋体" w:cs="宋体"/>
                <w:color w:val="auto"/>
                <w:kern w:val="0"/>
                <w:sz w:val="22"/>
              </w:rPr>
              <w:fldChar w:fldCharType="separate"/>
            </w:r>
            <w:r>
              <w:rPr>
                <w:rFonts w:hint="eastAsia" w:ascii="宋体" w:hAnsi="宋体" w:eastAsia="宋体" w:cs="宋体"/>
                <w:color w:val="auto"/>
                <w:kern w:val="0"/>
                <w:sz w:val="22"/>
              </w:rPr>
              <w:t>GB 44246-2024</w:t>
            </w:r>
            <w:r>
              <w:rPr>
                <w:rFonts w:hint="eastAsia" w:ascii="宋体" w:hAnsi="宋体" w:eastAsia="宋体" w:cs="宋体"/>
                <w:color w:val="auto"/>
                <w:kern w:val="0"/>
                <w:sz w:val="22"/>
              </w:rPr>
              <w:fldChar w:fldCharType="end"/>
            </w:r>
          </w:p>
        </w:tc>
      </w:tr>
      <w:tr w14:paraId="6E5ED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tcMar>
              <w:top w:w="15" w:type="dxa"/>
              <w:left w:w="15" w:type="dxa"/>
              <w:bottom w:w="0" w:type="dxa"/>
              <w:right w:w="15" w:type="dxa"/>
            </w:tcMar>
            <w:vAlign w:val="center"/>
          </w:tcPr>
          <w:p w14:paraId="492AF6E8">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rPr>
            </w:pPr>
            <w:r>
              <w:rPr>
                <w:rFonts w:hint="eastAsia" w:ascii="宋体" w:hAnsi="宋体" w:cs="宋体"/>
                <w:color w:val="auto"/>
                <w:kern w:val="0"/>
                <w:sz w:val="22"/>
                <w:lang w:eastAsia="zh-CN"/>
              </w:rPr>
              <w:t>2</w:t>
            </w:r>
          </w:p>
        </w:tc>
        <w:tc>
          <w:tcPr>
            <w:tcW w:w="2285" w:type="dxa"/>
            <w:tcMar>
              <w:top w:w="15" w:type="dxa"/>
              <w:left w:w="15" w:type="dxa"/>
              <w:bottom w:w="0" w:type="dxa"/>
              <w:right w:w="15" w:type="dxa"/>
            </w:tcMar>
            <w:vAlign w:val="center"/>
          </w:tcPr>
          <w:p w14:paraId="5EC82AF2">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rPr>
            </w:pPr>
            <w:r>
              <w:rPr>
                <w:rFonts w:hint="eastAsia" w:ascii="宋体" w:hAnsi="宋体" w:eastAsia="宋体" w:cs="宋体"/>
                <w:color w:val="auto"/>
                <w:kern w:val="0"/>
                <w:sz w:val="22"/>
              </w:rPr>
              <w:t>输入功率和电流</w:t>
            </w:r>
          </w:p>
        </w:tc>
        <w:tc>
          <w:tcPr>
            <w:tcW w:w="2802" w:type="dxa"/>
            <w:vMerge w:val="continue"/>
            <w:tcMar>
              <w:top w:w="15" w:type="dxa"/>
              <w:left w:w="15" w:type="dxa"/>
              <w:bottom w:w="0" w:type="dxa"/>
              <w:right w:w="15" w:type="dxa"/>
            </w:tcMar>
            <w:vAlign w:val="center"/>
          </w:tcPr>
          <w:p w14:paraId="37DCDED3">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c>
          <w:tcPr>
            <w:tcW w:w="3092" w:type="dxa"/>
            <w:vMerge w:val="continue"/>
            <w:tcMar>
              <w:top w:w="15" w:type="dxa"/>
              <w:left w:w="15" w:type="dxa"/>
              <w:bottom w:w="0" w:type="dxa"/>
              <w:right w:w="15" w:type="dxa"/>
            </w:tcMar>
            <w:vAlign w:val="center"/>
          </w:tcPr>
          <w:p w14:paraId="36C05623">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r>
      <w:tr w14:paraId="05C74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3" w:hRule="atLeast"/>
        </w:trPr>
        <w:tc>
          <w:tcPr>
            <w:tcW w:w="770" w:type="dxa"/>
            <w:tcMar>
              <w:top w:w="15" w:type="dxa"/>
              <w:left w:w="15" w:type="dxa"/>
              <w:bottom w:w="0" w:type="dxa"/>
              <w:right w:w="15" w:type="dxa"/>
            </w:tcMar>
            <w:vAlign w:val="center"/>
          </w:tcPr>
          <w:p w14:paraId="7A1F1DBF">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lang w:eastAsia="zh-CN"/>
              </w:rPr>
            </w:pPr>
            <w:r>
              <w:rPr>
                <w:rFonts w:hint="eastAsia" w:ascii="宋体" w:hAnsi="宋体" w:cs="宋体"/>
                <w:color w:val="auto"/>
                <w:kern w:val="0"/>
                <w:sz w:val="22"/>
                <w:lang w:eastAsia="zh-CN"/>
              </w:rPr>
              <w:t>3</w:t>
            </w:r>
          </w:p>
        </w:tc>
        <w:tc>
          <w:tcPr>
            <w:tcW w:w="2285" w:type="dxa"/>
            <w:tcMar>
              <w:top w:w="15" w:type="dxa"/>
              <w:left w:w="15" w:type="dxa"/>
              <w:bottom w:w="0" w:type="dxa"/>
              <w:right w:w="15" w:type="dxa"/>
            </w:tcMar>
            <w:vAlign w:val="center"/>
          </w:tcPr>
          <w:p w14:paraId="6049269A">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rPr>
            </w:pPr>
            <w:r>
              <w:rPr>
                <w:rFonts w:hint="eastAsia" w:ascii="宋体" w:hAnsi="宋体" w:eastAsia="宋体" w:cs="宋体"/>
                <w:color w:val="auto"/>
                <w:kern w:val="0"/>
                <w:sz w:val="22"/>
              </w:rPr>
              <w:t>工作温度下的泄漏电流和电气强度</w:t>
            </w:r>
          </w:p>
        </w:tc>
        <w:tc>
          <w:tcPr>
            <w:tcW w:w="2802" w:type="dxa"/>
            <w:vMerge w:val="continue"/>
            <w:tcMar>
              <w:top w:w="15" w:type="dxa"/>
              <w:left w:w="15" w:type="dxa"/>
              <w:bottom w:w="0" w:type="dxa"/>
              <w:right w:w="15" w:type="dxa"/>
            </w:tcMar>
            <w:vAlign w:val="center"/>
          </w:tcPr>
          <w:p w14:paraId="170160CF">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c>
          <w:tcPr>
            <w:tcW w:w="3092" w:type="dxa"/>
            <w:vMerge w:val="continue"/>
            <w:tcMar>
              <w:top w:w="15" w:type="dxa"/>
              <w:left w:w="15" w:type="dxa"/>
              <w:bottom w:w="0" w:type="dxa"/>
              <w:right w:w="15" w:type="dxa"/>
            </w:tcMar>
            <w:vAlign w:val="center"/>
          </w:tcPr>
          <w:p w14:paraId="2D8810D2">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r>
      <w:tr w14:paraId="3EE0E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tcMar>
              <w:top w:w="15" w:type="dxa"/>
              <w:left w:w="15" w:type="dxa"/>
              <w:bottom w:w="0" w:type="dxa"/>
              <w:right w:w="15" w:type="dxa"/>
            </w:tcMar>
            <w:vAlign w:val="center"/>
          </w:tcPr>
          <w:p w14:paraId="61526DFE">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lang w:eastAsia="zh-CN"/>
              </w:rPr>
            </w:pPr>
            <w:r>
              <w:rPr>
                <w:rFonts w:hint="eastAsia" w:ascii="宋体" w:hAnsi="宋体" w:cs="宋体"/>
                <w:color w:val="auto"/>
                <w:kern w:val="0"/>
                <w:sz w:val="22"/>
                <w:lang w:eastAsia="zh-CN"/>
              </w:rPr>
              <w:t>4</w:t>
            </w:r>
          </w:p>
        </w:tc>
        <w:tc>
          <w:tcPr>
            <w:tcW w:w="2285" w:type="dxa"/>
            <w:tcMar>
              <w:top w:w="15" w:type="dxa"/>
              <w:left w:w="15" w:type="dxa"/>
              <w:bottom w:w="0" w:type="dxa"/>
              <w:right w:w="15" w:type="dxa"/>
            </w:tcMar>
            <w:vAlign w:val="center"/>
          </w:tcPr>
          <w:p w14:paraId="636BF9B9">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rPr>
            </w:pPr>
            <w:r>
              <w:rPr>
                <w:rFonts w:hint="eastAsia" w:ascii="宋体" w:hAnsi="宋体" w:eastAsia="宋体" w:cs="宋体"/>
                <w:color w:val="auto"/>
                <w:kern w:val="0"/>
                <w:sz w:val="22"/>
              </w:rPr>
              <w:t>泄漏电流和电气强度</w:t>
            </w:r>
          </w:p>
        </w:tc>
        <w:tc>
          <w:tcPr>
            <w:tcW w:w="2802" w:type="dxa"/>
            <w:vMerge w:val="continue"/>
            <w:tcMar>
              <w:top w:w="15" w:type="dxa"/>
              <w:left w:w="15" w:type="dxa"/>
              <w:bottom w:w="0" w:type="dxa"/>
              <w:right w:w="15" w:type="dxa"/>
            </w:tcMar>
            <w:vAlign w:val="center"/>
          </w:tcPr>
          <w:p w14:paraId="6412691A">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c>
          <w:tcPr>
            <w:tcW w:w="3092" w:type="dxa"/>
            <w:vMerge w:val="continue"/>
            <w:tcMar>
              <w:top w:w="15" w:type="dxa"/>
              <w:left w:w="15" w:type="dxa"/>
              <w:bottom w:w="0" w:type="dxa"/>
              <w:right w:w="15" w:type="dxa"/>
            </w:tcMar>
            <w:vAlign w:val="center"/>
          </w:tcPr>
          <w:p w14:paraId="5B2252D8">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r>
      <w:tr w14:paraId="2F256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tcMar>
              <w:top w:w="15" w:type="dxa"/>
              <w:left w:w="15" w:type="dxa"/>
              <w:bottom w:w="0" w:type="dxa"/>
              <w:right w:w="15" w:type="dxa"/>
            </w:tcMar>
            <w:vAlign w:val="center"/>
          </w:tcPr>
          <w:p w14:paraId="256AD659">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lang w:eastAsia="zh-CN"/>
              </w:rPr>
            </w:pPr>
            <w:r>
              <w:rPr>
                <w:rFonts w:hint="eastAsia" w:ascii="宋体" w:hAnsi="宋体" w:cs="宋体"/>
                <w:color w:val="auto"/>
                <w:kern w:val="0"/>
                <w:sz w:val="22"/>
                <w:lang w:eastAsia="zh-CN"/>
              </w:rPr>
              <w:t>5</w:t>
            </w:r>
          </w:p>
        </w:tc>
        <w:tc>
          <w:tcPr>
            <w:tcW w:w="2285" w:type="dxa"/>
            <w:tcMar>
              <w:top w:w="15" w:type="dxa"/>
              <w:left w:w="15" w:type="dxa"/>
              <w:bottom w:w="0" w:type="dxa"/>
              <w:right w:w="15" w:type="dxa"/>
            </w:tcMar>
            <w:vAlign w:val="center"/>
          </w:tcPr>
          <w:p w14:paraId="3FEF09C9">
            <w:pPr>
              <w:keepNext w:val="0"/>
              <w:keepLines w:val="0"/>
              <w:suppressLineNumbers w:val="0"/>
              <w:spacing w:before="0" w:beforeAutospacing="0" w:after="0" w:afterAutospacing="0"/>
              <w:ind w:left="0" w:right="0"/>
              <w:contextualSpacing/>
              <w:jc w:val="center"/>
              <w:rPr>
                <w:rFonts w:hint="default" w:ascii="宋体" w:hAnsi="宋体" w:eastAsia="宋体" w:cs="宋体"/>
                <w:color w:val="auto"/>
                <w:kern w:val="0"/>
                <w:sz w:val="22"/>
                <w:lang w:val="en-US" w:eastAsia="zh-CN"/>
              </w:rPr>
            </w:pPr>
            <w:r>
              <w:rPr>
                <w:rFonts w:hint="eastAsia" w:ascii="宋体" w:hAnsi="宋体" w:cs="宋体"/>
                <w:color w:val="auto"/>
                <w:kern w:val="0"/>
                <w:sz w:val="22"/>
                <w:lang w:val="en-US" w:eastAsia="zh-CN"/>
              </w:rPr>
              <w:t>非正常工作</w:t>
            </w:r>
          </w:p>
        </w:tc>
        <w:tc>
          <w:tcPr>
            <w:tcW w:w="2802" w:type="dxa"/>
            <w:vMerge w:val="continue"/>
            <w:tcMar>
              <w:top w:w="15" w:type="dxa"/>
              <w:left w:w="15" w:type="dxa"/>
              <w:bottom w:w="0" w:type="dxa"/>
              <w:right w:w="15" w:type="dxa"/>
            </w:tcMar>
            <w:vAlign w:val="center"/>
          </w:tcPr>
          <w:p w14:paraId="2EC8A928">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c>
          <w:tcPr>
            <w:tcW w:w="3092" w:type="dxa"/>
            <w:vMerge w:val="continue"/>
            <w:tcMar>
              <w:top w:w="15" w:type="dxa"/>
              <w:left w:w="15" w:type="dxa"/>
              <w:bottom w:w="0" w:type="dxa"/>
              <w:right w:w="15" w:type="dxa"/>
            </w:tcMar>
            <w:vAlign w:val="center"/>
          </w:tcPr>
          <w:p w14:paraId="726BC3C4">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r>
      <w:tr w14:paraId="68EE0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shd w:val="clear" w:color="auto" w:fill="auto"/>
            <w:tcMar>
              <w:top w:w="15" w:type="dxa"/>
              <w:left w:w="15" w:type="dxa"/>
              <w:bottom w:w="0" w:type="dxa"/>
              <w:right w:w="15" w:type="dxa"/>
            </w:tcMar>
            <w:vAlign w:val="center"/>
          </w:tcPr>
          <w:p w14:paraId="7B22C7CA">
            <w:pPr>
              <w:keepNext w:val="0"/>
              <w:keepLines w:val="0"/>
              <w:suppressLineNumbers w:val="0"/>
              <w:spacing w:before="0" w:beforeAutospacing="0" w:after="0" w:afterAutospacing="0"/>
              <w:ind w:left="0" w:leftChars="0" w:right="0" w:rightChars="0"/>
              <w:contextualSpacing/>
              <w:jc w:val="center"/>
              <w:rPr>
                <w:rFonts w:hint="eastAsia" w:ascii="宋体" w:hAnsi="宋体" w:eastAsia="宋体" w:cs="宋体"/>
                <w:color w:val="auto"/>
                <w:kern w:val="0"/>
                <w:sz w:val="22"/>
                <w:szCs w:val="24"/>
                <w:lang w:val="en-US" w:eastAsia="zh-CN" w:bidi="ar-SA"/>
              </w:rPr>
            </w:pPr>
            <w:r>
              <w:rPr>
                <w:rFonts w:hint="eastAsia" w:ascii="宋体" w:hAnsi="宋体" w:cs="宋体"/>
                <w:color w:val="auto"/>
                <w:kern w:val="0"/>
                <w:sz w:val="22"/>
                <w:lang w:eastAsia="zh-CN"/>
              </w:rPr>
              <w:t>6</w:t>
            </w:r>
          </w:p>
        </w:tc>
        <w:tc>
          <w:tcPr>
            <w:tcW w:w="2285" w:type="dxa"/>
            <w:tcMar>
              <w:top w:w="15" w:type="dxa"/>
              <w:left w:w="15" w:type="dxa"/>
              <w:bottom w:w="0" w:type="dxa"/>
              <w:right w:w="15" w:type="dxa"/>
            </w:tcMar>
            <w:vAlign w:val="center"/>
          </w:tcPr>
          <w:p w14:paraId="032C5FEB">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rPr>
            </w:pPr>
            <w:r>
              <w:rPr>
                <w:rFonts w:hint="eastAsia" w:ascii="宋体" w:hAnsi="宋体" w:eastAsia="宋体" w:cs="宋体"/>
                <w:color w:val="auto"/>
                <w:kern w:val="0"/>
                <w:sz w:val="22"/>
              </w:rPr>
              <w:t>稳定性和机械危险</w:t>
            </w:r>
          </w:p>
        </w:tc>
        <w:tc>
          <w:tcPr>
            <w:tcW w:w="2802" w:type="dxa"/>
            <w:vMerge w:val="continue"/>
            <w:tcMar>
              <w:top w:w="15" w:type="dxa"/>
              <w:left w:w="15" w:type="dxa"/>
              <w:bottom w:w="0" w:type="dxa"/>
              <w:right w:w="15" w:type="dxa"/>
            </w:tcMar>
            <w:vAlign w:val="center"/>
          </w:tcPr>
          <w:p w14:paraId="02421608">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c>
          <w:tcPr>
            <w:tcW w:w="3092" w:type="dxa"/>
            <w:vMerge w:val="continue"/>
            <w:tcMar>
              <w:top w:w="15" w:type="dxa"/>
              <w:left w:w="15" w:type="dxa"/>
              <w:bottom w:w="0" w:type="dxa"/>
              <w:right w:w="15" w:type="dxa"/>
            </w:tcMar>
            <w:vAlign w:val="center"/>
          </w:tcPr>
          <w:p w14:paraId="74E60D54">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r>
      <w:tr w14:paraId="2E246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shd w:val="clear" w:color="auto" w:fill="auto"/>
            <w:tcMar>
              <w:top w:w="15" w:type="dxa"/>
              <w:left w:w="15" w:type="dxa"/>
              <w:bottom w:w="0" w:type="dxa"/>
              <w:right w:w="15" w:type="dxa"/>
            </w:tcMar>
            <w:vAlign w:val="center"/>
          </w:tcPr>
          <w:p w14:paraId="3D5D6691">
            <w:pPr>
              <w:keepNext w:val="0"/>
              <w:keepLines w:val="0"/>
              <w:suppressLineNumbers w:val="0"/>
              <w:spacing w:before="0" w:beforeAutospacing="0" w:after="0" w:afterAutospacing="0"/>
              <w:ind w:left="0" w:leftChars="0" w:right="0" w:rightChars="0"/>
              <w:contextualSpacing/>
              <w:jc w:val="center"/>
              <w:rPr>
                <w:rFonts w:hint="eastAsia" w:ascii="宋体" w:hAnsi="宋体" w:eastAsia="宋体" w:cs="宋体"/>
                <w:color w:val="auto"/>
                <w:kern w:val="0"/>
                <w:sz w:val="22"/>
                <w:szCs w:val="24"/>
                <w:lang w:val="en-US" w:eastAsia="zh-CN" w:bidi="ar-SA"/>
              </w:rPr>
            </w:pPr>
            <w:r>
              <w:rPr>
                <w:rFonts w:hint="eastAsia" w:ascii="宋体" w:hAnsi="宋体" w:cs="宋体"/>
                <w:color w:val="auto"/>
                <w:kern w:val="0"/>
                <w:sz w:val="22"/>
                <w:lang w:eastAsia="zh-CN"/>
              </w:rPr>
              <w:t>7</w:t>
            </w:r>
          </w:p>
        </w:tc>
        <w:tc>
          <w:tcPr>
            <w:tcW w:w="2285" w:type="dxa"/>
            <w:tcMar>
              <w:top w:w="15" w:type="dxa"/>
              <w:left w:w="15" w:type="dxa"/>
              <w:bottom w:w="0" w:type="dxa"/>
              <w:right w:w="15" w:type="dxa"/>
            </w:tcMar>
            <w:vAlign w:val="center"/>
          </w:tcPr>
          <w:p w14:paraId="1B53AA1B">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rPr>
            </w:pPr>
            <w:r>
              <w:rPr>
                <w:rFonts w:hint="eastAsia" w:ascii="宋体" w:hAnsi="宋体" w:eastAsia="宋体" w:cs="宋体"/>
                <w:color w:val="auto"/>
                <w:kern w:val="0"/>
                <w:sz w:val="22"/>
              </w:rPr>
              <w:t>机械强度</w:t>
            </w:r>
          </w:p>
        </w:tc>
        <w:tc>
          <w:tcPr>
            <w:tcW w:w="2802" w:type="dxa"/>
            <w:vMerge w:val="continue"/>
            <w:tcMar>
              <w:top w:w="15" w:type="dxa"/>
              <w:left w:w="15" w:type="dxa"/>
              <w:bottom w:w="0" w:type="dxa"/>
              <w:right w:w="15" w:type="dxa"/>
            </w:tcMar>
            <w:vAlign w:val="center"/>
          </w:tcPr>
          <w:p w14:paraId="5FEB75C6">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c>
          <w:tcPr>
            <w:tcW w:w="3092" w:type="dxa"/>
            <w:vMerge w:val="continue"/>
            <w:tcMar>
              <w:top w:w="15" w:type="dxa"/>
              <w:left w:w="15" w:type="dxa"/>
              <w:bottom w:w="0" w:type="dxa"/>
              <w:right w:w="15" w:type="dxa"/>
            </w:tcMar>
            <w:vAlign w:val="center"/>
          </w:tcPr>
          <w:p w14:paraId="23A62014">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r>
      <w:tr w14:paraId="1510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shd w:val="clear" w:color="auto" w:fill="auto"/>
            <w:tcMar>
              <w:top w:w="15" w:type="dxa"/>
              <w:left w:w="15" w:type="dxa"/>
              <w:bottom w:w="0" w:type="dxa"/>
              <w:right w:w="15" w:type="dxa"/>
            </w:tcMar>
            <w:vAlign w:val="center"/>
          </w:tcPr>
          <w:p w14:paraId="5A861322">
            <w:pPr>
              <w:keepNext w:val="0"/>
              <w:keepLines w:val="0"/>
              <w:suppressLineNumbers w:val="0"/>
              <w:spacing w:before="0" w:beforeAutospacing="0" w:after="0" w:afterAutospacing="0"/>
              <w:ind w:left="0" w:leftChars="0" w:right="0" w:rightChars="0"/>
              <w:contextualSpacing/>
              <w:jc w:val="center"/>
              <w:rPr>
                <w:rFonts w:hint="eastAsia" w:ascii="宋体" w:hAnsi="宋体" w:eastAsia="宋体" w:cs="宋体"/>
                <w:color w:val="auto"/>
                <w:kern w:val="0"/>
                <w:sz w:val="22"/>
                <w:szCs w:val="24"/>
                <w:lang w:val="en-US" w:eastAsia="zh-CN" w:bidi="ar-SA"/>
              </w:rPr>
            </w:pPr>
            <w:r>
              <w:rPr>
                <w:rFonts w:hint="eastAsia" w:ascii="宋体" w:hAnsi="宋体" w:cs="宋体"/>
                <w:color w:val="auto"/>
                <w:kern w:val="0"/>
                <w:sz w:val="22"/>
                <w:lang w:eastAsia="zh-CN"/>
              </w:rPr>
              <w:t>8</w:t>
            </w:r>
          </w:p>
        </w:tc>
        <w:tc>
          <w:tcPr>
            <w:tcW w:w="2285" w:type="dxa"/>
            <w:tcMar>
              <w:top w:w="15" w:type="dxa"/>
              <w:left w:w="15" w:type="dxa"/>
              <w:bottom w:w="0" w:type="dxa"/>
              <w:right w:w="15" w:type="dxa"/>
            </w:tcMar>
            <w:vAlign w:val="center"/>
          </w:tcPr>
          <w:p w14:paraId="67E270E9">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rPr>
            </w:pPr>
            <w:r>
              <w:rPr>
                <w:rFonts w:hint="eastAsia" w:ascii="宋体" w:hAnsi="宋体" w:eastAsia="宋体" w:cs="宋体"/>
                <w:color w:val="auto"/>
                <w:kern w:val="0"/>
                <w:sz w:val="22"/>
              </w:rPr>
              <w:t>结构（不包括第22.46条试验）</w:t>
            </w:r>
          </w:p>
        </w:tc>
        <w:tc>
          <w:tcPr>
            <w:tcW w:w="2802" w:type="dxa"/>
            <w:vMerge w:val="continue"/>
            <w:tcMar>
              <w:top w:w="15" w:type="dxa"/>
              <w:left w:w="15" w:type="dxa"/>
              <w:bottom w:w="0" w:type="dxa"/>
              <w:right w:w="15" w:type="dxa"/>
            </w:tcMar>
            <w:vAlign w:val="center"/>
          </w:tcPr>
          <w:p w14:paraId="09CA5887">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c>
          <w:tcPr>
            <w:tcW w:w="3092" w:type="dxa"/>
            <w:vMerge w:val="continue"/>
            <w:tcMar>
              <w:top w:w="15" w:type="dxa"/>
              <w:left w:w="15" w:type="dxa"/>
              <w:bottom w:w="0" w:type="dxa"/>
              <w:right w:w="15" w:type="dxa"/>
            </w:tcMar>
            <w:vAlign w:val="center"/>
          </w:tcPr>
          <w:p w14:paraId="0260F34A">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r>
      <w:tr w14:paraId="1F5DB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shd w:val="clear" w:color="auto" w:fill="auto"/>
            <w:tcMar>
              <w:top w:w="15" w:type="dxa"/>
              <w:left w:w="15" w:type="dxa"/>
              <w:bottom w:w="0" w:type="dxa"/>
              <w:right w:w="15" w:type="dxa"/>
            </w:tcMar>
            <w:vAlign w:val="center"/>
          </w:tcPr>
          <w:p w14:paraId="2AACC0EE">
            <w:pPr>
              <w:keepNext w:val="0"/>
              <w:keepLines w:val="0"/>
              <w:suppressLineNumbers w:val="0"/>
              <w:spacing w:before="0" w:beforeAutospacing="0" w:after="0" w:afterAutospacing="0"/>
              <w:ind w:left="0" w:leftChars="0" w:right="0" w:rightChars="0"/>
              <w:contextualSpacing/>
              <w:jc w:val="center"/>
              <w:rPr>
                <w:rFonts w:hint="eastAsia" w:ascii="宋体" w:hAnsi="宋体" w:eastAsia="宋体" w:cs="宋体"/>
                <w:color w:val="auto"/>
                <w:kern w:val="0"/>
                <w:sz w:val="22"/>
                <w:szCs w:val="24"/>
                <w:lang w:val="en-US" w:eastAsia="zh-CN" w:bidi="ar-SA"/>
              </w:rPr>
            </w:pPr>
            <w:r>
              <w:rPr>
                <w:rFonts w:hint="eastAsia" w:ascii="宋体" w:hAnsi="宋体" w:cs="宋体"/>
                <w:color w:val="auto"/>
                <w:kern w:val="0"/>
                <w:sz w:val="22"/>
                <w:lang w:eastAsia="zh-CN"/>
              </w:rPr>
              <w:t>9</w:t>
            </w:r>
          </w:p>
        </w:tc>
        <w:tc>
          <w:tcPr>
            <w:tcW w:w="2285" w:type="dxa"/>
            <w:tcMar>
              <w:top w:w="15" w:type="dxa"/>
              <w:left w:w="15" w:type="dxa"/>
              <w:bottom w:w="0" w:type="dxa"/>
              <w:right w:w="15" w:type="dxa"/>
            </w:tcMar>
            <w:vAlign w:val="center"/>
          </w:tcPr>
          <w:p w14:paraId="1CE5D622">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rPr>
            </w:pPr>
            <w:r>
              <w:rPr>
                <w:rFonts w:hint="eastAsia" w:ascii="宋体" w:hAnsi="宋体" w:eastAsia="宋体" w:cs="宋体"/>
                <w:color w:val="auto"/>
                <w:kern w:val="0"/>
                <w:sz w:val="22"/>
              </w:rPr>
              <w:t>内部布线</w:t>
            </w:r>
          </w:p>
        </w:tc>
        <w:tc>
          <w:tcPr>
            <w:tcW w:w="2802" w:type="dxa"/>
            <w:vMerge w:val="continue"/>
            <w:tcMar>
              <w:top w:w="15" w:type="dxa"/>
              <w:left w:w="15" w:type="dxa"/>
              <w:bottom w:w="0" w:type="dxa"/>
              <w:right w:w="15" w:type="dxa"/>
            </w:tcMar>
            <w:vAlign w:val="center"/>
          </w:tcPr>
          <w:p w14:paraId="0E06F1A3">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c>
          <w:tcPr>
            <w:tcW w:w="3092" w:type="dxa"/>
            <w:vMerge w:val="continue"/>
            <w:tcMar>
              <w:top w:w="15" w:type="dxa"/>
              <w:left w:w="15" w:type="dxa"/>
              <w:bottom w:w="0" w:type="dxa"/>
              <w:right w:w="15" w:type="dxa"/>
            </w:tcMar>
            <w:vAlign w:val="center"/>
          </w:tcPr>
          <w:p w14:paraId="6C4A4F5E">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r>
      <w:tr w14:paraId="4EE03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shd w:val="clear" w:color="auto" w:fill="auto"/>
            <w:tcMar>
              <w:top w:w="15" w:type="dxa"/>
              <w:left w:w="15" w:type="dxa"/>
              <w:bottom w:w="0" w:type="dxa"/>
              <w:right w:w="15" w:type="dxa"/>
            </w:tcMar>
            <w:vAlign w:val="center"/>
          </w:tcPr>
          <w:p w14:paraId="5AAB9059">
            <w:pPr>
              <w:keepNext w:val="0"/>
              <w:keepLines w:val="0"/>
              <w:suppressLineNumbers w:val="0"/>
              <w:spacing w:before="0" w:beforeAutospacing="0" w:after="0" w:afterAutospacing="0"/>
              <w:ind w:left="0" w:leftChars="0" w:right="0" w:rightChars="0"/>
              <w:contextualSpacing/>
              <w:jc w:val="center"/>
              <w:rPr>
                <w:rFonts w:hint="eastAsia" w:ascii="宋体" w:hAnsi="宋体" w:eastAsia="宋体" w:cs="宋体"/>
                <w:color w:val="auto"/>
                <w:kern w:val="0"/>
                <w:sz w:val="22"/>
                <w:szCs w:val="24"/>
                <w:lang w:val="en-US" w:eastAsia="zh-CN" w:bidi="ar-SA"/>
              </w:rPr>
            </w:pPr>
            <w:r>
              <w:rPr>
                <w:rFonts w:hint="eastAsia" w:ascii="宋体" w:hAnsi="宋体" w:cs="宋体"/>
                <w:color w:val="auto"/>
                <w:kern w:val="0"/>
                <w:sz w:val="22"/>
                <w:lang w:eastAsia="zh-CN"/>
              </w:rPr>
              <w:t>10</w:t>
            </w:r>
          </w:p>
        </w:tc>
        <w:tc>
          <w:tcPr>
            <w:tcW w:w="2285" w:type="dxa"/>
            <w:tcMar>
              <w:top w:w="15" w:type="dxa"/>
              <w:left w:w="15" w:type="dxa"/>
              <w:bottom w:w="0" w:type="dxa"/>
              <w:right w:w="15" w:type="dxa"/>
            </w:tcMar>
            <w:vAlign w:val="center"/>
          </w:tcPr>
          <w:p w14:paraId="37BF4056">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rPr>
            </w:pPr>
            <w:r>
              <w:rPr>
                <w:rFonts w:hint="eastAsia" w:ascii="宋体" w:hAnsi="宋体" w:eastAsia="宋体" w:cs="宋体"/>
                <w:color w:val="auto"/>
                <w:kern w:val="0"/>
                <w:sz w:val="22"/>
              </w:rPr>
              <w:t>电源连接和外部软线</w:t>
            </w:r>
          </w:p>
        </w:tc>
        <w:tc>
          <w:tcPr>
            <w:tcW w:w="2802" w:type="dxa"/>
            <w:vMerge w:val="continue"/>
            <w:tcMar>
              <w:top w:w="15" w:type="dxa"/>
              <w:left w:w="15" w:type="dxa"/>
              <w:bottom w:w="0" w:type="dxa"/>
              <w:right w:w="15" w:type="dxa"/>
            </w:tcMar>
            <w:vAlign w:val="center"/>
          </w:tcPr>
          <w:p w14:paraId="1ED74935">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c>
          <w:tcPr>
            <w:tcW w:w="3092" w:type="dxa"/>
            <w:vMerge w:val="continue"/>
            <w:tcMar>
              <w:top w:w="15" w:type="dxa"/>
              <w:left w:w="15" w:type="dxa"/>
              <w:bottom w:w="0" w:type="dxa"/>
              <w:right w:w="15" w:type="dxa"/>
            </w:tcMar>
            <w:vAlign w:val="center"/>
          </w:tcPr>
          <w:p w14:paraId="25BEC4A0">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r>
      <w:tr w14:paraId="2370E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shd w:val="clear" w:color="auto" w:fill="auto"/>
            <w:tcMar>
              <w:top w:w="15" w:type="dxa"/>
              <w:left w:w="15" w:type="dxa"/>
              <w:bottom w:w="0" w:type="dxa"/>
              <w:right w:w="15" w:type="dxa"/>
            </w:tcMar>
            <w:vAlign w:val="center"/>
          </w:tcPr>
          <w:p w14:paraId="6F07783D">
            <w:pPr>
              <w:keepNext w:val="0"/>
              <w:keepLines w:val="0"/>
              <w:suppressLineNumbers w:val="0"/>
              <w:spacing w:before="0" w:beforeAutospacing="0" w:after="0" w:afterAutospacing="0"/>
              <w:ind w:left="0" w:leftChars="0" w:right="0" w:rightChars="0"/>
              <w:contextualSpacing/>
              <w:jc w:val="center"/>
              <w:rPr>
                <w:rFonts w:hint="eastAsia" w:ascii="宋体" w:hAnsi="宋体" w:eastAsia="宋体" w:cs="宋体"/>
                <w:color w:val="auto"/>
                <w:kern w:val="0"/>
                <w:sz w:val="22"/>
                <w:szCs w:val="24"/>
                <w:lang w:val="en-US" w:eastAsia="zh-CN" w:bidi="ar-SA"/>
              </w:rPr>
            </w:pPr>
            <w:r>
              <w:rPr>
                <w:rFonts w:hint="eastAsia" w:ascii="宋体" w:hAnsi="宋体" w:eastAsia="宋体" w:cs="宋体"/>
                <w:color w:val="auto"/>
                <w:kern w:val="0"/>
                <w:sz w:val="22"/>
              </w:rPr>
              <w:t>1</w:t>
            </w:r>
            <w:r>
              <w:rPr>
                <w:rFonts w:hint="eastAsia" w:ascii="宋体" w:hAnsi="宋体" w:cs="宋体"/>
                <w:color w:val="auto"/>
                <w:kern w:val="0"/>
                <w:sz w:val="22"/>
                <w:lang w:eastAsia="zh-CN"/>
              </w:rPr>
              <w:t>1</w:t>
            </w:r>
          </w:p>
        </w:tc>
        <w:tc>
          <w:tcPr>
            <w:tcW w:w="2285" w:type="dxa"/>
            <w:tcMar>
              <w:top w:w="15" w:type="dxa"/>
              <w:left w:w="15" w:type="dxa"/>
              <w:bottom w:w="0" w:type="dxa"/>
              <w:right w:w="15" w:type="dxa"/>
            </w:tcMar>
            <w:vAlign w:val="center"/>
          </w:tcPr>
          <w:p w14:paraId="11D45F9B">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rPr>
            </w:pPr>
            <w:r>
              <w:rPr>
                <w:rFonts w:hint="eastAsia" w:ascii="宋体" w:hAnsi="宋体" w:eastAsia="宋体" w:cs="宋体"/>
                <w:color w:val="auto"/>
                <w:kern w:val="0"/>
                <w:sz w:val="22"/>
              </w:rPr>
              <w:t>外部导线用接线端子</w:t>
            </w:r>
          </w:p>
        </w:tc>
        <w:tc>
          <w:tcPr>
            <w:tcW w:w="2802" w:type="dxa"/>
            <w:vMerge w:val="continue"/>
            <w:tcMar>
              <w:top w:w="15" w:type="dxa"/>
              <w:left w:w="15" w:type="dxa"/>
              <w:bottom w:w="0" w:type="dxa"/>
              <w:right w:w="15" w:type="dxa"/>
            </w:tcMar>
            <w:vAlign w:val="center"/>
          </w:tcPr>
          <w:p w14:paraId="60119F8E">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c>
          <w:tcPr>
            <w:tcW w:w="3092" w:type="dxa"/>
            <w:vMerge w:val="continue"/>
            <w:tcMar>
              <w:top w:w="15" w:type="dxa"/>
              <w:left w:w="15" w:type="dxa"/>
              <w:bottom w:w="0" w:type="dxa"/>
              <w:right w:w="15" w:type="dxa"/>
            </w:tcMar>
            <w:vAlign w:val="center"/>
          </w:tcPr>
          <w:p w14:paraId="08E5C4BC">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r>
      <w:tr w14:paraId="15F08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5" w:hRule="atLeast"/>
        </w:trPr>
        <w:tc>
          <w:tcPr>
            <w:tcW w:w="770" w:type="dxa"/>
            <w:shd w:val="clear" w:color="auto" w:fill="auto"/>
            <w:tcMar>
              <w:top w:w="15" w:type="dxa"/>
              <w:left w:w="15" w:type="dxa"/>
              <w:bottom w:w="0" w:type="dxa"/>
              <w:right w:w="15" w:type="dxa"/>
            </w:tcMar>
            <w:vAlign w:val="center"/>
          </w:tcPr>
          <w:p w14:paraId="6E7B7866">
            <w:pPr>
              <w:keepNext w:val="0"/>
              <w:keepLines w:val="0"/>
              <w:suppressLineNumbers w:val="0"/>
              <w:spacing w:before="0" w:beforeAutospacing="0" w:after="0" w:afterAutospacing="0"/>
              <w:ind w:left="0" w:leftChars="0" w:right="0" w:rightChars="0"/>
              <w:contextualSpacing/>
              <w:jc w:val="center"/>
              <w:rPr>
                <w:rFonts w:hint="eastAsia" w:ascii="宋体" w:hAnsi="宋体" w:eastAsia="宋体" w:cs="宋体"/>
                <w:color w:val="auto"/>
                <w:kern w:val="0"/>
                <w:sz w:val="22"/>
                <w:szCs w:val="24"/>
                <w:lang w:val="en-US" w:eastAsia="zh-CN" w:bidi="ar-SA"/>
              </w:rPr>
            </w:pPr>
            <w:r>
              <w:rPr>
                <w:rFonts w:hint="eastAsia" w:ascii="宋体" w:hAnsi="宋体" w:cs="宋体"/>
                <w:color w:val="auto"/>
                <w:kern w:val="0"/>
                <w:sz w:val="22"/>
                <w:lang w:eastAsia="zh-CN"/>
              </w:rPr>
              <w:t>12</w:t>
            </w:r>
          </w:p>
        </w:tc>
        <w:tc>
          <w:tcPr>
            <w:tcW w:w="2285" w:type="dxa"/>
            <w:tcMar>
              <w:top w:w="15" w:type="dxa"/>
              <w:left w:w="15" w:type="dxa"/>
              <w:bottom w:w="0" w:type="dxa"/>
              <w:right w:w="15" w:type="dxa"/>
            </w:tcMar>
            <w:vAlign w:val="center"/>
          </w:tcPr>
          <w:p w14:paraId="16E9F175">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rPr>
            </w:pPr>
            <w:r>
              <w:rPr>
                <w:rFonts w:hint="eastAsia" w:ascii="宋体" w:hAnsi="宋体" w:eastAsia="宋体" w:cs="宋体"/>
                <w:color w:val="auto"/>
                <w:kern w:val="0"/>
                <w:sz w:val="22"/>
              </w:rPr>
              <w:t>接地措施</w:t>
            </w:r>
          </w:p>
        </w:tc>
        <w:tc>
          <w:tcPr>
            <w:tcW w:w="2802" w:type="dxa"/>
            <w:vMerge w:val="continue"/>
            <w:tcMar>
              <w:top w:w="15" w:type="dxa"/>
              <w:left w:w="15" w:type="dxa"/>
              <w:bottom w:w="0" w:type="dxa"/>
              <w:right w:w="15" w:type="dxa"/>
            </w:tcMar>
            <w:vAlign w:val="center"/>
          </w:tcPr>
          <w:p w14:paraId="3A1AF884">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c>
          <w:tcPr>
            <w:tcW w:w="3092" w:type="dxa"/>
            <w:vMerge w:val="continue"/>
            <w:tcMar>
              <w:top w:w="15" w:type="dxa"/>
              <w:left w:w="15" w:type="dxa"/>
              <w:bottom w:w="0" w:type="dxa"/>
              <w:right w:w="15" w:type="dxa"/>
            </w:tcMar>
            <w:vAlign w:val="center"/>
          </w:tcPr>
          <w:p w14:paraId="1D5CEB6C">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r>
      <w:tr w14:paraId="14A79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4" w:hRule="atLeast"/>
        </w:trPr>
        <w:tc>
          <w:tcPr>
            <w:tcW w:w="770" w:type="dxa"/>
            <w:tcMar>
              <w:top w:w="15" w:type="dxa"/>
              <w:left w:w="15" w:type="dxa"/>
              <w:bottom w:w="0" w:type="dxa"/>
              <w:right w:w="15" w:type="dxa"/>
            </w:tcMar>
            <w:vAlign w:val="center"/>
          </w:tcPr>
          <w:p w14:paraId="7E4D8E26">
            <w:pPr>
              <w:keepNext w:val="0"/>
              <w:keepLines w:val="0"/>
              <w:suppressLineNumbers w:val="0"/>
              <w:spacing w:before="0" w:beforeAutospacing="0" w:after="0" w:afterAutospacing="0"/>
              <w:ind w:left="0" w:right="0"/>
              <w:contextualSpacing/>
              <w:jc w:val="center"/>
              <w:rPr>
                <w:rFonts w:hint="default" w:ascii="宋体" w:hAnsi="宋体" w:eastAsia="宋体" w:cs="宋体"/>
                <w:color w:val="auto"/>
                <w:kern w:val="0"/>
                <w:sz w:val="22"/>
                <w:lang w:val="en-US" w:eastAsia="zh-CN"/>
              </w:rPr>
            </w:pPr>
            <w:r>
              <w:rPr>
                <w:rFonts w:hint="eastAsia" w:ascii="宋体" w:hAnsi="宋体" w:cs="宋体"/>
                <w:color w:val="auto"/>
                <w:kern w:val="0"/>
                <w:sz w:val="22"/>
                <w:lang w:val="en-US" w:eastAsia="zh-CN"/>
              </w:rPr>
              <w:t>13</w:t>
            </w:r>
          </w:p>
        </w:tc>
        <w:tc>
          <w:tcPr>
            <w:tcW w:w="2285" w:type="dxa"/>
            <w:tcMar>
              <w:top w:w="15" w:type="dxa"/>
              <w:left w:w="15" w:type="dxa"/>
              <w:bottom w:w="0" w:type="dxa"/>
              <w:right w:w="15" w:type="dxa"/>
            </w:tcMar>
            <w:vAlign w:val="center"/>
          </w:tcPr>
          <w:p w14:paraId="1D771757">
            <w:pPr>
              <w:keepNext w:val="0"/>
              <w:keepLines w:val="0"/>
              <w:suppressLineNumbers w:val="0"/>
              <w:spacing w:before="0" w:beforeAutospacing="0" w:after="0" w:afterAutospacing="0"/>
              <w:ind w:left="0" w:right="0"/>
              <w:contextualSpacing/>
              <w:jc w:val="center"/>
              <w:rPr>
                <w:rFonts w:hint="eastAsia" w:ascii="宋体" w:hAnsi="宋体" w:eastAsia="宋体" w:cs="宋体"/>
                <w:color w:val="auto"/>
                <w:kern w:val="0"/>
                <w:sz w:val="22"/>
              </w:rPr>
            </w:pPr>
            <w:r>
              <w:rPr>
                <w:rFonts w:hint="eastAsia" w:ascii="宋体" w:hAnsi="宋体" w:eastAsia="宋体" w:cs="宋体"/>
                <w:color w:val="auto"/>
                <w:kern w:val="0"/>
                <w:sz w:val="22"/>
              </w:rPr>
              <w:t>螺钉和连接</w:t>
            </w:r>
          </w:p>
        </w:tc>
        <w:tc>
          <w:tcPr>
            <w:tcW w:w="2802" w:type="dxa"/>
            <w:vMerge w:val="continue"/>
            <w:tcMar>
              <w:top w:w="15" w:type="dxa"/>
              <w:left w:w="15" w:type="dxa"/>
              <w:bottom w:w="0" w:type="dxa"/>
              <w:right w:w="15" w:type="dxa"/>
            </w:tcMar>
            <w:vAlign w:val="center"/>
          </w:tcPr>
          <w:p w14:paraId="3FC00107">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c>
          <w:tcPr>
            <w:tcW w:w="3092" w:type="dxa"/>
            <w:vMerge w:val="continue"/>
            <w:tcMar>
              <w:top w:w="15" w:type="dxa"/>
              <w:left w:w="15" w:type="dxa"/>
              <w:bottom w:w="0" w:type="dxa"/>
              <w:right w:w="15" w:type="dxa"/>
            </w:tcMar>
            <w:vAlign w:val="center"/>
          </w:tcPr>
          <w:p w14:paraId="55D54127">
            <w:pPr>
              <w:keepNext w:val="0"/>
              <w:keepLines w:val="0"/>
              <w:suppressLineNumbers w:val="0"/>
              <w:spacing w:before="0" w:beforeAutospacing="0" w:after="0" w:afterAutospacing="0"/>
              <w:ind w:left="0" w:right="0"/>
              <w:contextualSpacing/>
              <w:jc w:val="center"/>
              <w:rPr>
                <w:rFonts w:hint="default" w:ascii="宋体" w:hAnsi="宋体" w:cs="宋体"/>
                <w:color w:val="FF0000"/>
                <w:kern w:val="0"/>
                <w:sz w:val="22"/>
              </w:rPr>
            </w:pPr>
          </w:p>
        </w:tc>
      </w:tr>
    </w:tbl>
    <w:p w14:paraId="186074EB">
      <w:pPr>
        <w:spacing w:line="580" w:lineRule="exact"/>
        <w:ind w:firstLine="560"/>
        <w:rPr>
          <w:rFonts w:hint="eastAsia" w:ascii="方正仿宋_GBK" w:hAnsi="方正仿宋_GBK" w:eastAsia="方正仿宋_GBK" w:cs="方正仿宋_GBK"/>
          <w:color w:val="auto"/>
          <w:sz w:val="32"/>
          <w:szCs w:val="32"/>
        </w:rPr>
      </w:pPr>
      <w:bookmarkStart w:id="0" w:name="_GoBack"/>
      <w:bookmarkEnd w:id="0"/>
      <w:r>
        <w:rPr>
          <w:rFonts w:hint="eastAsia" w:ascii="方正仿宋_GBK" w:hAnsi="方正仿宋_GBK" w:eastAsia="方正仿宋_GBK" w:cs="方正仿宋_GBK"/>
          <w:sz w:val="32"/>
          <w:szCs w:val="32"/>
        </w:rPr>
        <w:t>检</w:t>
      </w:r>
      <w:r>
        <w:rPr>
          <w:rFonts w:hint="eastAsia" w:ascii="方正仿宋_GBK" w:hAnsi="方正仿宋_GBK" w:eastAsia="方正仿宋_GBK" w:cs="方正仿宋_GBK"/>
          <w:color w:val="auto"/>
          <w:sz w:val="32"/>
          <w:szCs w:val="32"/>
        </w:rPr>
        <w:t>验方法包括相关产品标准及试验方法标准。</w:t>
      </w:r>
    </w:p>
    <w:p w14:paraId="1B785717">
      <w:pPr>
        <w:spacing w:line="580" w:lineRule="exact"/>
        <w:ind w:firstLine="560"/>
        <w:rPr>
          <w:rFonts w:hint="eastAsia" w:ascii="宋体" w:hAnsi="宋体" w:cs="宋体"/>
          <w:color w:val="auto"/>
          <w:sz w:val="32"/>
          <w:szCs w:val="32"/>
        </w:rPr>
      </w:pPr>
      <w:r>
        <w:rPr>
          <w:rFonts w:hint="eastAsia" w:ascii="方正仿宋_GBK" w:hAnsi="方正仿宋_GBK" w:eastAsia="方正仿宋_GBK" w:cs="方正仿宋_GBK"/>
          <w:color w:val="auto"/>
          <w:sz w:val="32"/>
          <w:szCs w:val="32"/>
        </w:rPr>
        <w:t>凡是注日期的文件，其随后所有的修改单（不包括勘误的内容）或修订版不适用于本细则。凡是不注日期的文件，其最新版本适用于本细则。</w:t>
      </w:r>
    </w:p>
    <w:p w14:paraId="657C0C46">
      <w:pPr>
        <w:spacing w:line="580" w:lineRule="exact"/>
        <w:ind w:firstLine="640" w:firstLineChars="200"/>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黑体_GBK"/>
          <w:kern w:val="0"/>
          <w:sz w:val="32"/>
          <w:szCs w:val="32"/>
          <w:shd w:val="clear" w:color="auto" w:fill="FFFFFF"/>
          <w:lang w:bidi="ar"/>
        </w:rPr>
        <w:t>4</w:t>
      </w:r>
      <w:r>
        <w:rPr>
          <w:rFonts w:ascii="Times New Roman" w:hAnsi="Times New Roman" w:eastAsia="方正黑体_GBK"/>
          <w:kern w:val="0"/>
          <w:sz w:val="32"/>
          <w:szCs w:val="32"/>
          <w:shd w:val="clear" w:color="auto" w:fill="FFFFFF"/>
          <w:lang w:bidi="ar"/>
        </w:rPr>
        <w:t>.</w:t>
      </w:r>
      <w:r>
        <w:rPr>
          <w:rFonts w:hint="eastAsia" w:ascii="方正黑体_GBK" w:hAnsi="方正仿宋_GBK" w:eastAsia="方正黑体_GBK" w:cs="方正仿宋_GBK"/>
          <w:kern w:val="0"/>
          <w:sz w:val="32"/>
          <w:szCs w:val="32"/>
          <w:shd w:val="clear" w:color="auto" w:fill="FFFFFF"/>
          <w:lang w:bidi="ar"/>
        </w:rPr>
        <w:t>判定规则</w:t>
      </w:r>
    </w:p>
    <w:p w14:paraId="7D52FF0B">
      <w:pPr>
        <w:spacing w:line="580" w:lineRule="exact"/>
        <w:ind w:firstLine="560"/>
        <w:rPr>
          <w:rFonts w:hint="eastAsia"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lang w:bidi="ar"/>
        </w:rPr>
        <w:t>4.1</w:t>
      </w:r>
      <w:r>
        <w:rPr>
          <w:rFonts w:hint="eastAsia" w:ascii="方正仿宋_GBK" w:hAnsi="方正仿宋_GBK" w:eastAsia="方正仿宋_GBK" w:cs="方正仿宋_GBK"/>
          <w:b/>
          <w:bCs/>
          <w:sz w:val="32"/>
          <w:szCs w:val="32"/>
        </w:rPr>
        <w:t>依据标准</w:t>
      </w:r>
    </w:p>
    <w:p w14:paraId="08F1EB2A">
      <w:pPr>
        <w:spacing w:line="580" w:lineRule="exact"/>
        <w:ind w:firstLine="56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GB 4706.1-2005《家用和类似用途电器的安全 第1部分：通用要求》</w:t>
      </w:r>
    </w:p>
    <w:p w14:paraId="28AAC299">
      <w:pPr>
        <w:spacing w:line="580" w:lineRule="exact"/>
        <w:ind w:firstLine="56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rPr>
        <w:fldChar w:fldCharType="begin"/>
      </w:r>
      <w:r>
        <w:rPr>
          <w:rFonts w:hint="eastAsia" w:ascii="方正仿宋_GBK" w:hAnsi="方正仿宋_GBK" w:eastAsia="方正仿宋_GBK" w:cs="方正仿宋_GBK"/>
          <w:color w:val="auto"/>
          <w:sz w:val="32"/>
          <w:szCs w:val="32"/>
        </w:rPr>
        <w:instrText xml:space="preserve"> HYPERLINK "http://pt.fjbz.org.cn:8060/standardsearch/StdInfo.aspx?id=2141575" \t "http://pt.fjbz.org.cn:8060/standardsearch/_blank" </w:instrText>
      </w:r>
      <w:r>
        <w:rPr>
          <w:rFonts w:hint="eastAsia" w:ascii="方正仿宋_GBK" w:hAnsi="方正仿宋_GBK" w:eastAsia="方正仿宋_GBK" w:cs="方正仿宋_GBK"/>
          <w:color w:val="auto"/>
          <w:sz w:val="32"/>
          <w:szCs w:val="32"/>
        </w:rPr>
        <w:fldChar w:fldCharType="separate"/>
      </w:r>
      <w:r>
        <w:rPr>
          <w:rFonts w:hint="eastAsia" w:ascii="方正仿宋_GBK" w:hAnsi="方正仿宋_GBK" w:eastAsia="方正仿宋_GBK" w:cs="方正仿宋_GBK"/>
          <w:color w:val="auto"/>
          <w:sz w:val="32"/>
          <w:szCs w:val="32"/>
        </w:rPr>
        <w:t>GB/T 4706.1-2024</w:t>
      </w:r>
      <w:r>
        <w:rPr>
          <w:rFonts w:hint="eastAsia" w:ascii="方正仿宋_GBK" w:hAnsi="方正仿宋_GBK" w:eastAsia="方正仿宋_GBK" w:cs="方正仿宋_GBK"/>
          <w:color w:val="auto"/>
          <w:sz w:val="32"/>
          <w:szCs w:val="32"/>
        </w:rPr>
        <w:fldChar w:fldCharType="end"/>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家用和类似用途电器的安全 第1部分：通用要求</w:t>
      </w:r>
      <w:r>
        <w:rPr>
          <w:rFonts w:hint="eastAsia" w:ascii="方正仿宋_GBK" w:hAnsi="方正仿宋_GBK" w:eastAsia="方正仿宋_GBK" w:cs="方正仿宋_GBK"/>
          <w:color w:val="auto"/>
          <w:sz w:val="32"/>
          <w:szCs w:val="32"/>
          <w:lang w:eastAsia="zh-CN"/>
        </w:rPr>
        <w:t>》</w:t>
      </w:r>
    </w:p>
    <w:p w14:paraId="3B8C984C">
      <w:pPr>
        <w:spacing w:line="580" w:lineRule="exact"/>
        <w:ind w:firstLine="56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GB 4706.33-2008《家用和类似用途电器的安全 商用电深油炸锅的特殊要求》</w:t>
      </w:r>
    </w:p>
    <w:p w14:paraId="6C86B2D0">
      <w:pPr>
        <w:spacing w:line="580" w:lineRule="exact"/>
        <w:ind w:firstLine="56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rPr>
        <w:fldChar w:fldCharType="begin"/>
      </w:r>
      <w:r>
        <w:rPr>
          <w:rFonts w:hint="eastAsia" w:ascii="方正仿宋_GBK" w:hAnsi="方正仿宋_GBK" w:eastAsia="方正仿宋_GBK" w:cs="方正仿宋_GBK"/>
          <w:color w:val="auto"/>
          <w:sz w:val="32"/>
          <w:szCs w:val="32"/>
        </w:rPr>
        <w:instrText xml:space="preserve"> HYPERLINK "http://pt.fjbz.org.cn:8060/standardsearch/StdInfo.aspx?id=2141754" \t "http://pt.fjbz.org.cn:8060/standardsearch/_blank" </w:instrText>
      </w:r>
      <w:r>
        <w:rPr>
          <w:rFonts w:hint="eastAsia" w:ascii="方正仿宋_GBK" w:hAnsi="方正仿宋_GBK" w:eastAsia="方正仿宋_GBK" w:cs="方正仿宋_GBK"/>
          <w:color w:val="auto"/>
          <w:sz w:val="32"/>
          <w:szCs w:val="32"/>
        </w:rPr>
        <w:fldChar w:fldCharType="separate"/>
      </w:r>
      <w:r>
        <w:rPr>
          <w:rFonts w:hint="eastAsia" w:ascii="方正仿宋_GBK" w:hAnsi="方正仿宋_GBK" w:eastAsia="方正仿宋_GBK" w:cs="方正仿宋_GBK"/>
          <w:color w:val="auto"/>
          <w:sz w:val="32"/>
          <w:szCs w:val="32"/>
        </w:rPr>
        <w:t>GB/T 4706.33-2024</w:t>
      </w:r>
      <w:r>
        <w:rPr>
          <w:rFonts w:hint="eastAsia" w:ascii="方正仿宋_GBK" w:hAnsi="方正仿宋_GBK" w:eastAsia="方正仿宋_GBK" w:cs="方正仿宋_GBK"/>
          <w:color w:val="auto"/>
          <w:sz w:val="32"/>
          <w:szCs w:val="32"/>
        </w:rPr>
        <w:fldChar w:fldCharType="end"/>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家用和类似用途电器的安全 第33部分：商用电油炸锅的特殊要求</w:t>
      </w:r>
      <w:r>
        <w:rPr>
          <w:rFonts w:hint="eastAsia" w:ascii="方正仿宋_GBK" w:hAnsi="方正仿宋_GBK" w:eastAsia="方正仿宋_GBK" w:cs="方正仿宋_GBK"/>
          <w:color w:val="auto"/>
          <w:sz w:val="32"/>
          <w:szCs w:val="32"/>
          <w:lang w:eastAsia="zh-CN"/>
        </w:rPr>
        <w:t>》</w:t>
      </w:r>
    </w:p>
    <w:p w14:paraId="1AA9F22C">
      <w:pPr>
        <w:spacing w:line="580" w:lineRule="exact"/>
        <w:ind w:firstLine="56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GB 4706.34-2008《家用和类似用途电器的安全 商用电强制对流烤炉、蒸汽炊具和蒸汽对流炉的特殊要求》</w:t>
      </w:r>
    </w:p>
    <w:p w14:paraId="4BEC035A">
      <w:pPr>
        <w:spacing w:line="580" w:lineRule="exact"/>
        <w:ind w:firstLine="56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rPr>
        <w:fldChar w:fldCharType="begin"/>
      </w:r>
      <w:r>
        <w:rPr>
          <w:rFonts w:hint="eastAsia" w:ascii="方正仿宋_GBK" w:hAnsi="方正仿宋_GBK" w:eastAsia="方正仿宋_GBK" w:cs="方正仿宋_GBK"/>
          <w:color w:val="auto"/>
          <w:sz w:val="32"/>
          <w:szCs w:val="32"/>
        </w:rPr>
        <w:instrText xml:space="preserve"> HYPERLINK "http://pt.fjbz.org.cn:8060/standardsearch/StdInfo.aspx?id=2141755" \t "http://pt.fjbz.org.cn:8060/standardsearch/_blank" </w:instrText>
      </w:r>
      <w:r>
        <w:rPr>
          <w:rFonts w:hint="eastAsia" w:ascii="方正仿宋_GBK" w:hAnsi="方正仿宋_GBK" w:eastAsia="方正仿宋_GBK" w:cs="方正仿宋_GBK"/>
          <w:color w:val="auto"/>
          <w:sz w:val="32"/>
          <w:szCs w:val="32"/>
        </w:rPr>
        <w:fldChar w:fldCharType="separate"/>
      </w:r>
      <w:r>
        <w:rPr>
          <w:rFonts w:hint="eastAsia" w:ascii="方正仿宋_GBK" w:hAnsi="方正仿宋_GBK" w:eastAsia="方正仿宋_GBK" w:cs="方正仿宋_GBK"/>
          <w:color w:val="auto"/>
          <w:sz w:val="32"/>
          <w:szCs w:val="32"/>
        </w:rPr>
        <w:t>GB/T 4706.34-2024</w:t>
      </w:r>
      <w:r>
        <w:rPr>
          <w:rFonts w:hint="eastAsia" w:ascii="方正仿宋_GBK" w:hAnsi="方正仿宋_GBK" w:eastAsia="方正仿宋_GBK" w:cs="方正仿宋_GBK"/>
          <w:color w:val="auto"/>
          <w:sz w:val="32"/>
          <w:szCs w:val="32"/>
        </w:rPr>
        <w:fldChar w:fldCharType="end"/>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家用和类似用途电器的安全 第34部分：商用电强制对流烤炉、蒸汽炊具和蒸汽对流炉的特殊要求</w:t>
      </w:r>
      <w:r>
        <w:rPr>
          <w:rFonts w:hint="eastAsia" w:ascii="方正仿宋_GBK" w:hAnsi="方正仿宋_GBK" w:eastAsia="方正仿宋_GBK" w:cs="方正仿宋_GBK"/>
          <w:color w:val="auto"/>
          <w:sz w:val="32"/>
          <w:szCs w:val="32"/>
          <w:lang w:eastAsia="zh-CN"/>
        </w:rPr>
        <w:t>》</w:t>
      </w:r>
    </w:p>
    <w:p w14:paraId="13F8C45B">
      <w:pPr>
        <w:spacing w:line="580" w:lineRule="exact"/>
        <w:ind w:firstLine="56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GB 4706.35-2008《家用和类似用途电器的安全 商用电煮锅的特殊要求》</w:t>
      </w:r>
    </w:p>
    <w:p w14:paraId="4BAD075B">
      <w:pPr>
        <w:spacing w:line="580" w:lineRule="exact"/>
        <w:ind w:firstLine="56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rPr>
        <w:fldChar w:fldCharType="begin"/>
      </w:r>
      <w:r>
        <w:rPr>
          <w:rFonts w:hint="eastAsia" w:ascii="方正仿宋_GBK" w:hAnsi="方正仿宋_GBK" w:eastAsia="方正仿宋_GBK" w:cs="方正仿宋_GBK"/>
          <w:color w:val="auto"/>
          <w:sz w:val="32"/>
          <w:szCs w:val="32"/>
        </w:rPr>
        <w:instrText xml:space="preserve"> HYPERLINK "http://pt.fjbz.org.cn:8060/standardsearch/StdInfo.aspx?id=2141756" \t "http://pt.fjbz.org.cn:8060/standardsearch/_blank" </w:instrText>
      </w:r>
      <w:r>
        <w:rPr>
          <w:rFonts w:hint="eastAsia" w:ascii="方正仿宋_GBK" w:hAnsi="方正仿宋_GBK" w:eastAsia="方正仿宋_GBK" w:cs="方正仿宋_GBK"/>
          <w:color w:val="auto"/>
          <w:sz w:val="32"/>
          <w:szCs w:val="32"/>
        </w:rPr>
        <w:fldChar w:fldCharType="separate"/>
      </w:r>
      <w:r>
        <w:rPr>
          <w:rFonts w:hint="eastAsia" w:ascii="方正仿宋_GBK" w:hAnsi="方正仿宋_GBK" w:eastAsia="方正仿宋_GBK" w:cs="方正仿宋_GBK"/>
          <w:color w:val="auto"/>
          <w:sz w:val="32"/>
          <w:szCs w:val="32"/>
        </w:rPr>
        <w:t>GB/T 4706.35-2024</w:t>
      </w:r>
      <w:r>
        <w:rPr>
          <w:rFonts w:hint="eastAsia" w:ascii="方正仿宋_GBK" w:hAnsi="方正仿宋_GBK" w:eastAsia="方正仿宋_GBK" w:cs="方正仿宋_GBK"/>
          <w:color w:val="auto"/>
          <w:sz w:val="32"/>
          <w:szCs w:val="32"/>
        </w:rPr>
        <w:fldChar w:fldCharType="end"/>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家用和类似用途电器的安全 第35部分：商用电煮锅的特殊要求</w:t>
      </w:r>
      <w:r>
        <w:rPr>
          <w:rFonts w:hint="eastAsia" w:ascii="方正仿宋_GBK" w:hAnsi="方正仿宋_GBK" w:eastAsia="方正仿宋_GBK" w:cs="方正仿宋_GBK"/>
          <w:color w:val="auto"/>
          <w:sz w:val="32"/>
          <w:szCs w:val="32"/>
          <w:lang w:eastAsia="zh-CN"/>
        </w:rPr>
        <w:t>》</w:t>
      </w:r>
    </w:p>
    <w:p w14:paraId="114935BC">
      <w:pPr>
        <w:spacing w:line="580" w:lineRule="exact"/>
        <w:ind w:firstLine="56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GB 4706.36-2014《家用和类似用途电器的安全 商用电开水器和液体加热器的特殊要求》</w:t>
      </w:r>
    </w:p>
    <w:p w14:paraId="6994956F">
      <w:pPr>
        <w:spacing w:line="580" w:lineRule="exact"/>
        <w:ind w:firstLine="56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rPr>
        <w:fldChar w:fldCharType="begin"/>
      </w:r>
      <w:r>
        <w:rPr>
          <w:rFonts w:hint="eastAsia" w:ascii="方正仿宋_GBK" w:hAnsi="方正仿宋_GBK" w:eastAsia="方正仿宋_GBK" w:cs="方正仿宋_GBK"/>
          <w:color w:val="auto"/>
          <w:sz w:val="32"/>
          <w:szCs w:val="32"/>
        </w:rPr>
        <w:instrText xml:space="preserve"> HYPERLINK "http://pt.fjbz.org.cn:8060/standardsearch/StdInfo.aspx?id=2141757" \t "http://pt.fjbz.org.cn:8060/standardsearch/_blank" </w:instrText>
      </w:r>
      <w:r>
        <w:rPr>
          <w:rFonts w:hint="eastAsia" w:ascii="方正仿宋_GBK" w:hAnsi="方正仿宋_GBK" w:eastAsia="方正仿宋_GBK" w:cs="方正仿宋_GBK"/>
          <w:color w:val="auto"/>
          <w:sz w:val="32"/>
          <w:szCs w:val="32"/>
        </w:rPr>
        <w:fldChar w:fldCharType="separate"/>
      </w:r>
      <w:r>
        <w:rPr>
          <w:rFonts w:hint="eastAsia" w:ascii="方正仿宋_GBK" w:hAnsi="方正仿宋_GBK" w:eastAsia="方正仿宋_GBK" w:cs="方正仿宋_GBK"/>
          <w:color w:val="auto"/>
          <w:sz w:val="32"/>
          <w:szCs w:val="32"/>
        </w:rPr>
        <w:t>GB/T 4706.36-2024</w:t>
      </w:r>
      <w:r>
        <w:rPr>
          <w:rFonts w:hint="eastAsia" w:ascii="方正仿宋_GBK" w:hAnsi="方正仿宋_GBK" w:eastAsia="方正仿宋_GBK" w:cs="方正仿宋_GBK"/>
          <w:color w:val="auto"/>
          <w:sz w:val="32"/>
          <w:szCs w:val="32"/>
        </w:rPr>
        <w:fldChar w:fldCharType="end"/>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家用和类似用途电器的安全 第36部分：商用电开水器和液体加热器的特殊要求</w:t>
      </w:r>
      <w:r>
        <w:rPr>
          <w:rFonts w:hint="eastAsia" w:ascii="方正仿宋_GBK" w:hAnsi="方正仿宋_GBK" w:eastAsia="方正仿宋_GBK" w:cs="方正仿宋_GBK"/>
          <w:color w:val="auto"/>
          <w:sz w:val="32"/>
          <w:szCs w:val="32"/>
          <w:lang w:eastAsia="zh-CN"/>
        </w:rPr>
        <w:t>》</w:t>
      </w:r>
    </w:p>
    <w:p w14:paraId="119FA866">
      <w:pPr>
        <w:spacing w:line="580" w:lineRule="exact"/>
        <w:ind w:firstLine="56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GB 4706.37-2008《家用和类似用途电器的安全 商用单双面电热铛的特殊要求》</w:t>
      </w:r>
    </w:p>
    <w:p w14:paraId="768AE7D7">
      <w:pPr>
        <w:spacing w:line="580" w:lineRule="exact"/>
        <w:ind w:firstLine="56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rPr>
        <w:fldChar w:fldCharType="begin"/>
      </w:r>
      <w:r>
        <w:rPr>
          <w:rFonts w:hint="eastAsia" w:ascii="方正仿宋_GBK" w:hAnsi="方正仿宋_GBK" w:eastAsia="方正仿宋_GBK" w:cs="方正仿宋_GBK"/>
          <w:color w:val="auto"/>
          <w:sz w:val="32"/>
          <w:szCs w:val="32"/>
        </w:rPr>
        <w:instrText xml:space="preserve"> HYPERLINK "http://pt.fjbz.org.cn:8060/standardsearch/StdInfo.aspx?id=2141758" \t "http://pt.fjbz.org.cn:8060/standardsearch/_blank" </w:instrText>
      </w:r>
      <w:r>
        <w:rPr>
          <w:rFonts w:hint="eastAsia" w:ascii="方正仿宋_GBK" w:hAnsi="方正仿宋_GBK" w:eastAsia="方正仿宋_GBK" w:cs="方正仿宋_GBK"/>
          <w:color w:val="auto"/>
          <w:sz w:val="32"/>
          <w:szCs w:val="32"/>
        </w:rPr>
        <w:fldChar w:fldCharType="separate"/>
      </w:r>
      <w:r>
        <w:rPr>
          <w:rFonts w:hint="eastAsia" w:ascii="方正仿宋_GBK" w:hAnsi="方正仿宋_GBK" w:eastAsia="方正仿宋_GBK" w:cs="方正仿宋_GBK"/>
          <w:color w:val="auto"/>
          <w:sz w:val="32"/>
          <w:szCs w:val="32"/>
        </w:rPr>
        <w:t>GB/T 4706.37-2024</w:t>
      </w:r>
      <w:r>
        <w:rPr>
          <w:rFonts w:hint="eastAsia" w:ascii="方正仿宋_GBK" w:hAnsi="方正仿宋_GBK" w:eastAsia="方正仿宋_GBK" w:cs="方正仿宋_GBK"/>
          <w:color w:val="auto"/>
          <w:sz w:val="32"/>
          <w:szCs w:val="32"/>
        </w:rPr>
        <w:fldChar w:fldCharType="end"/>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家用和类似用途电器的安全 第37部分：商用单双面电热铛的特殊要求</w:t>
      </w:r>
      <w:r>
        <w:rPr>
          <w:rFonts w:hint="eastAsia" w:ascii="方正仿宋_GBK" w:hAnsi="方正仿宋_GBK" w:eastAsia="方正仿宋_GBK" w:cs="方正仿宋_GBK"/>
          <w:color w:val="auto"/>
          <w:sz w:val="32"/>
          <w:szCs w:val="32"/>
          <w:lang w:eastAsia="zh-CN"/>
        </w:rPr>
        <w:t>》</w:t>
      </w:r>
    </w:p>
    <w:p w14:paraId="6E2B04D4">
      <w:pPr>
        <w:spacing w:line="580" w:lineRule="exact"/>
        <w:ind w:firstLine="56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GB 4706.39-2008《家用和类似用途电器的安全 商用电烤炉和烤面包炉的特殊要求》</w:t>
      </w:r>
    </w:p>
    <w:p w14:paraId="48AA5FDE">
      <w:pPr>
        <w:spacing w:line="580" w:lineRule="exact"/>
        <w:ind w:firstLine="56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rPr>
        <w:fldChar w:fldCharType="begin"/>
      </w:r>
      <w:r>
        <w:rPr>
          <w:rFonts w:hint="eastAsia" w:ascii="方正仿宋_GBK" w:hAnsi="方正仿宋_GBK" w:eastAsia="方正仿宋_GBK" w:cs="方正仿宋_GBK"/>
          <w:color w:val="auto"/>
          <w:sz w:val="32"/>
          <w:szCs w:val="32"/>
        </w:rPr>
        <w:instrText xml:space="preserve"> HYPERLINK "http://pt.fjbz.org.cn:8060/standardsearch/StdInfo.aspx?id=2141760" \t "http://pt.fjbz.org.cn:8060/standardsearch/_blank" </w:instrText>
      </w:r>
      <w:r>
        <w:rPr>
          <w:rFonts w:hint="eastAsia" w:ascii="方正仿宋_GBK" w:hAnsi="方正仿宋_GBK" w:eastAsia="方正仿宋_GBK" w:cs="方正仿宋_GBK"/>
          <w:color w:val="auto"/>
          <w:sz w:val="32"/>
          <w:szCs w:val="32"/>
        </w:rPr>
        <w:fldChar w:fldCharType="separate"/>
      </w:r>
      <w:r>
        <w:rPr>
          <w:rFonts w:hint="eastAsia" w:ascii="方正仿宋_GBK" w:hAnsi="方正仿宋_GBK" w:eastAsia="方正仿宋_GBK" w:cs="方正仿宋_GBK"/>
          <w:color w:val="auto"/>
          <w:sz w:val="32"/>
          <w:szCs w:val="32"/>
        </w:rPr>
        <w:t>GB/T 4706.39-2024</w:t>
      </w:r>
      <w:r>
        <w:rPr>
          <w:rFonts w:hint="eastAsia" w:ascii="方正仿宋_GBK" w:hAnsi="方正仿宋_GBK" w:eastAsia="方正仿宋_GBK" w:cs="方正仿宋_GBK"/>
          <w:color w:val="auto"/>
          <w:sz w:val="32"/>
          <w:szCs w:val="32"/>
        </w:rPr>
        <w:fldChar w:fldCharType="end"/>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家用和类似用途电器的安全 第39部分：商用电烤炉和烤面包炉的特殊要求</w:t>
      </w:r>
      <w:r>
        <w:rPr>
          <w:rFonts w:hint="eastAsia" w:ascii="方正仿宋_GBK" w:hAnsi="方正仿宋_GBK" w:eastAsia="方正仿宋_GBK" w:cs="方正仿宋_GBK"/>
          <w:color w:val="auto"/>
          <w:sz w:val="32"/>
          <w:szCs w:val="32"/>
          <w:lang w:eastAsia="zh-CN"/>
        </w:rPr>
        <w:t>》</w:t>
      </w:r>
    </w:p>
    <w:p w14:paraId="41EAADEF">
      <w:pPr>
        <w:spacing w:line="580" w:lineRule="exact"/>
        <w:ind w:firstLine="56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GB 4706.40-2008《家用和类似用途电器的安全 商用多用途电平锅的特殊要求》</w:t>
      </w:r>
    </w:p>
    <w:p w14:paraId="42FFFAE5">
      <w:pPr>
        <w:spacing w:line="580" w:lineRule="exact"/>
        <w:ind w:firstLine="56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rPr>
        <w:fldChar w:fldCharType="begin"/>
      </w:r>
      <w:r>
        <w:rPr>
          <w:rFonts w:hint="eastAsia" w:ascii="方正仿宋_GBK" w:hAnsi="方正仿宋_GBK" w:eastAsia="方正仿宋_GBK" w:cs="方正仿宋_GBK"/>
          <w:color w:val="auto"/>
          <w:sz w:val="32"/>
          <w:szCs w:val="32"/>
        </w:rPr>
        <w:instrText xml:space="preserve"> HYPERLINK "http://pt.fjbz.org.cn:8060/standardsearch/StdInfo.aspx?id=2141761" \t "http://pt.fjbz.org.cn:8060/standardsearch/_blank" </w:instrText>
      </w:r>
      <w:r>
        <w:rPr>
          <w:rFonts w:hint="eastAsia" w:ascii="方正仿宋_GBK" w:hAnsi="方正仿宋_GBK" w:eastAsia="方正仿宋_GBK" w:cs="方正仿宋_GBK"/>
          <w:color w:val="auto"/>
          <w:sz w:val="32"/>
          <w:szCs w:val="32"/>
        </w:rPr>
        <w:fldChar w:fldCharType="separate"/>
      </w:r>
      <w:r>
        <w:rPr>
          <w:rFonts w:hint="eastAsia" w:ascii="方正仿宋_GBK" w:hAnsi="方正仿宋_GBK" w:eastAsia="方正仿宋_GBK" w:cs="方正仿宋_GBK"/>
          <w:color w:val="auto"/>
          <w:sz w:val="32"/>
          <w:szCs w:val="32"/>
        </w:rPr>
        <w:t>GB/T 4706.40-2024</w:t>
      </w:r>
      <w:r>
        <w:rPr>
          <w:rFonts w:hint="eastAsia" w:ascii="方正仿宋_GBK" w:hAnsi="方正仿宋_GBK" w:eastAsia="方正仿宋_GBK" w:cs="方正仿宋_GBK"/>
          <w:color w:val="auto"/>
          <w:sz w:val="32"/>
          <w:szCs w:val="32"/>
        </w:rPr>
        <w:fldChar w:fldCharType="end"/>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家用和类似用途电器的安全 第40部分：商用多用途电平锅的特殊要求</w:t>
      </w:r>
      <w:r>
        <w:rPr>
          <w:rFonts w:hint="eastAsia" w:ascii="方正仿宋_GBK" w:hAnsi="方正仿宋_GBK" w:eastAsia="方正仿宋_GBK" w:cs="方正仿宋_GBK"/>
          <w:color w:val="auto"/>
          <w:sz w:val="32"/>
          <w:szCs w:val="32"/>
          <w:lang w:eastAsia="zh-CN"/>
        </w:rPr>
        <w:t>》</w:t>
      </w:r>
    </w:p>
    <w:p w14:paraId="65FCE1A2">
      <w:pPr>
        <w:spacing w:line="580" w:lineRule="exact"/>
        <w:ind w:firstLine="56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GB 4706.52-2008《家用和类似用途电器的安全 商用电炉灶、烤箱、灶和灶单元的特殊要求》</w:t>
      </w:r>
    </w:p>
    <w:p w14:paraId="09C846E9">
      <w:pPr>
        <w:spacing w:line="580" w:lineRule="exact"/>
        <w:ind w:firstLine="56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rPr>
        <w:fldChar w:fldCharType="begin"/>
      </w:r>
      <w:r>
        <w:rPr>
          <w:rFonts w:hint="eastAsia" w:ascii="方正仿宋_GBK" w:hAnsi="方正仿宋_GBK" w:eastAsia="方正仿宋_GBK" w:cs="方正仿宋_GBK"/>
          <w:color w:val="auto"/>
          <w:sz w:val="32"/>
          <w:szCs w:val="32"/>
        </w:rPr>
        <w:instrText xml:space="preserve"> HYPERLINK "http://pt.fjbz.org.cn:8060/standardsearch/StdInfo.aspx?id=2141772" \t "http://pt.fjbz.org.cn:8060/standardsearch/_blank" </w:instrText>
      </w:r>
      <w:r>
        <w:rPr>
          <w:rFonts w:hint="eastAsia" w:ascii="方正仿宋_GBK" w:hAnsi="方正仿宋_GBK" w:eastAsia="方正仿宋_GBK" w:cs="方正仿宋_GBK"/>
          <w:color w:val="auto"/>
          <w:sz w:val="32"/>
          <w:szCs w:val="32"/>
        </w:rPr>
        <w:fldChar w:fldCharType="separate"/>
      </w:r>
      <w:r>
        <w:rPr>
          <w:rFonts w:hint="eastAsia" w:ascii="方正仿宋_GBK" w:hAnsi="方正仿宋_GBK" w:eastAsia="方正仿宋_GBK" w:cs="方正仿宋_GBK"/>
          <w:color w:val="auto"/>
          <w:sz w:val="32"/>
          <w:szCs w:val="32"/>
        </w:rPr>
        <w:t>GB/T 4706.52-2024</w:t>
      </w:r>
      <w:r>
        <w:rPr>
          <w:rFonts w:hint="eastAsia" w:ascii="方正仿宋_GBK" w:hAnsi="方正仿宋_GBK" w:eastAsia="方正仿宋_GBK" w:cs="方正仿宋_GBK"/>
          <w:color w:val="auto"/>
          <w:sz w:val="32"/>
          <w:szCs w:val="32"/>
        </w:rPr>
        <w:fldChar w:fldCharType="end"/>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家用和类似用途电器的安全 第52部分：商用电炉灶、烤箱、灶和灶单元的特殊要求</w:t>
      </w:r>
      <w:r>
        <w:rPr>
          <w:rFonts w:hint="eastAsia" w:ascii="方正仿宋_GBK" w:hAnsi="方正仿宋_GBK" w:eastAsia="方正仿宋_GBK" w:cs="方正仿宋_GBK"/>
          <w:color w:val="auto"/>
          <w:sz w:val="32"/>
          <w:szCs w:val="32"/>
          <w:lang w:eastAsia="zh-CN"/>
        </w:rPr>
        <w:t>》</w:t>
      </w:r>
    </w:p>
    <w:p w14:paraId="293B87E0">
      <w:pPr>
        <w:spacing w:line="580" w:lineRule="exact"/>
        <w:ind w:firstLine="56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rPr>
        <w:fldChar w:fldCharType="begin"/>
      </w:r>
      <w:r>
        <w:rPr>
          <w:rFonts w:hint="eastAsia" w:ascii="方正仿宋_GBK" w:hAnsi="方正仿宋_GBK" w:eastAsia="方正仿宋_GBK" w:cs="方正仿宋_GBK"/>
          <w:color w:val="auto"/>
          <w:sz w:val="32"/>
          <w:szCs w:val="32"/>
        </w:rPr>
        <w:instrText xml:space="preserve"> HYPERLINK "http://pt.fjbz.org.cn:8060/standardsearch/StdInfo.aspx?id=2141565" \t "http://pt.fjbz.org.cn:8060/standardsearch/_blank" </w:instrText>
      </w:r>
      <w:r>
        <w:rPr>
          <w:rFonts w:hint="eastAsia" w:ascii="方正仿宋_GBK" w:hAnsi="方正仿宋_GBK" w:eastAsia="方正仿宋_GBK" w:cs="方正仿宋_GBK"/>
          <w:color w:val="auto"/>
          <w:sz w:val="32"/>
          <w:szCs w:val="32"/>
        </w:rPr>
        <w:fldChar w:fldCharType="separate"/>
      </w:r>
      <w:r>
        <w:rPr>
          <w:rFonts w:hint="eastAsia" w:ascii="方正仿宋_GBK" w:hAnsi="方正仿宋_GBK" w:eastAsia="方正仿宋_GBK" w:cs="方正仿宋_GBK"/>
          <w:color w:val="auto"/>
          <w:sz w:val="32"/>
          <w:szCs w:val="32"/>
        </w:rPr>
        <w:t>GB 44246-2024</w:t>
      </w:r>
      <w:r>
        <w:rPr>
          <w:rFonts w:hint="eastAsia" w:ascii="方正仿宋_GBK" w:hAnsi="方正仿宋_GBK" w:eastAsia="方正仿宋_GBK" w:cs="方正仿宋_GBK"/>
          <w:color w:val="auto"/>
          <w:sz w:val="32"/>
          <w:szCs w:val="32"/>
        </w:rPr>
        <w:fldChar w:fldCharType="end"/>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家用和类似用途电器、体育用品的电气部分及电玩具 安全技术规范</w:t>
      </w:r>
      <w:r>
        <w:rPr>
          <w:rFonts w:hint="eastAsia" w:ascii="方正仿宋_GBK" w:hAnsi="方正仿宋_GBK" w:eastAsia="方正仿宋_GBK" w:cs="方正仿宋_GBK"/>
          <w:color w:val="auto"/>
          <w:sz w:val="32"/>
          <w:szCs w:val="32"/>
          <w:lang w:eastAsia="zh-CN"/>
        </w:rPr>
        <w:t>》</w:t>
      </w:r>
    </w:p>
    <w:p w14:paraId="0938D738">
      <w:pPr>
        <w:spacing w:line="580" w:lineRule="exact"/>
        <w:ind w:firstLine="56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现行有效的企业标准、团体标准、地方标准及产品明示质量要求</w:t>
      </w:r>
    </w:p>
    <w:p w14:paraId="36640DE8">
      <w:pPr>
        <w:spacing w:line="580" w:lineRule="exact"/>
        <w:ind w:firstLine="560"/>
        <w:rPr>
          <w:rFonts w:hint="eastAsia"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lang w:bidi="ar"/>
        </w:rPr>
        <w:t>4.2</w:t>
      </w:r>
      <w:r>
        <w:rPr>
          <w:rFonts w:hint="eastAsia" w:ascii="方正仿宋_GBK" w:hAnsi="方正仿宋_GBK" w:eastAsia="方正仿宋_GBK" w:cs="方正仿宋_GBK"/>
          <w:b/>
          <w:bCs/>
          <w:sz w:val="32"/>
          <w:szCs w:val="32"/>
        </w:rPr>
        <w:t>判定原则</w:t>
      </w:r>
    </w:p>
    <w:p w14:paraId="5AA850BA">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14:paraId="0EF9B4DF">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0B9E41A5">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38DD2AD4">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2D93C965">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5DA8BB01">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D101882">
      <w:pPr>
        <w:spacing w:line="58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hint="eastAsia" w:ascii="Times New Roman" w:hAnsi="Times New Roman" w:eastAsia="方正黑体_GBK"/>
          <w:kern w:val="0"/>
          <w:sz w:val="32"/>
          <w:szCs w:val="32"/>
          <w:shd w:val="clear" w:color="auto" w:fill="FFFFFF"/>
          <w:lang w:bidi="ar"/>
        </w:rPr>
        <w:t>5</w:t>
      </w:r>
      <w:r>
        <w:rPr>
          <w:rFonts w:ascii="Times New Roman" w:hAnsi="Times New Roman" w:eastAsia="方正黑体_GBK"/>
          <w:kern w:val="0"/>
          <w:sz w:val="32"/>
          <w:szCs w:val="32"/>
          <w:shd w:val="clear" w:color="auto" w:fill="FFFFFF"/>
          <w:lang w:bidi="ar"/>
        </w:rPr>
        <w:t>.</w:t>
      </w:r>
      <w:r>
        <w:rPr>
          <w:rFonts w:hint="eastAsia" w:ascii="方正黑体_GBK" w:hAnsi="方正仿宋_GBK" w:eastAsia="方正黑体_GBK" w:cs="方正仿宋_GBK"/>
          <w:kern w:val="0"/>
          <w:sz w:val="32"/>
          <w:szCs w:val="32"/>
          <w:shd w:val="clear" w:color="auto" w:fill="FFFFFF"/>
          <w:lang w:bidi="ar"/>
        </w:rPr>
        <w:t>异议处理</w:t>
      </w:r>
    </w:p>
    <w:p w14:paraId="2F8E25CE">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5.1</w:t>
      </w:r>
      <w:r>
        <w:rPr>
          <w:rFonts w:ascii="Times New Roman" w:hAnsi="Times New Roman" w:eastAsia="方正仿宋_GBK"/>
          <w:sz w:val="32"/>
          <w:szCs w:val="32"/>
        </w:rPr>
        <w:t>对监督抽查程序有异议的，由任务下达部门核查相关证据后维持或者撤销原检验结果</w:t>
      </w:r>
      <w:r>
        <w:rPr>
          <w:rFonts w:hint="eastAsia" w:ascii="Times New Roman" w:hAnsi="Times New Roman" w:eastAsia="方正仿宋_GBK"/>
          <w:sz w:val="32"/>
          <w:szCs w:val="32"/>
        </w:rPr>
        <w:t>。</w:t>
      </w:r>
    </w:p>
    <w:p w14:paraId="4EEA3987">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5.2</w:t>
      </w:r>
      <w:r>
        <w:rPr>
          <w:rFonts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6982B514">
      <w:pPr>
        <w:spacing w:line="580" w:lineRule="exact"/>
        <w:ind w:firstLine="640" w:firstLineChars="200"/>
        <w:rPr>
          <w:rFonts w:ascii="Times New Roman" w:hAnsi="Times New Roman" w:eastAsia="方正仿宋_GBK"/>
          <w:color w:val="auto"/>
          <w:sz w:val="32"/>
          <w:szCs w:val="32"/>
        </w:rPr>
      </w:pPr>
      <w:r>
        <w:rPr>
          <w:rFonts w:hint="eastAsia" w:ascii="Times New Roman" w:hAnsi="Times New Roman" w:eastAsia="方正仿宋_GBK"/>
          <w:color w:val="auto"/>
          <w:sz w:val="32"/>
          <w:szCs w:val="32"/>
        </w:rPr>
        <w:t>5.3</w:t>
      </w:r>
      <w:r>
        <w:rPr>
          <w:rFonts w:ascii="Times New Roman" w:hAnsi="Times New Roman" w:eastAsia="方正仿宋_GBK"/>
          <w:color w:val="auto"/>
          <w:sz w:val="32"/>
          <w:szCs w:val="32"/>
        </w:rPr>
        <w:t>对样品信息有异议的，任务下达部门核查样品确认情况和生产企业提交证明材料后，维持或者撤销原检验结果。</w:t>
      </w:r>
    </w:p>
    <w:p w14:paraId="71B78124">
      <w:pPr>
        <w:spacing w:line="580" w:lineRule="exact"/>
        <w:ind w:firstLine="420" w:firstLineChars="200"/>
        <w:rPr>
          <w:rFonts w:hint="eastAsia"/>
          <w:color w:val="auto"/>
        </w:rPr>
      </w:pP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E439C0-48BB-4E4D-8B93-A798DDFDA7D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小标宋_GBK">
    <w:panose1 w:val="02000000000000000000"/>
    <w:charset w:val="86"/>
    <w:family w:val="auto"/>
    <w:pitch w:val="default"/>
    <w:sig w:usb0="A00002BF" w:usb1="38CF7CFA" w:usb2="00082016" w:usb3="00000000" w:csb0="00040001" w:csb1="00000000"/>
    <w:embedRegular r:id="rId2" w:fontKey="{57D49409-619E-48BA-8062-4D21E25D93F5}"/>
  </w:font>
  <w:font w:name="方正黑体_GBK">
    <w:altName w:val="微软雅黑"/>
    <w:panose1 w:val="03000509000000000000"/>
    <w:charset w:val="86"/>
    <w:family w:val="script"/>
    <w:pitch w:val="default"/>
    <w:sig w:usb0="00000000" w:usb1="00000000" w:usb2="00000000" w:usb3="00000000" w:csb0="00040000" w:csb1="00000000"/>
    <w:embedRegular r:id="rId3" w:fontKey="{BEEBCF2F-644E-493B-A5FD-B4328C3684FA}"/>
  </w:font>
  <w:font w:name="微软雅黑">
    <w:panose1 w:val="020B0503020204020204"/>
    <w:charset w:val="86"/>
    <w:family w:val="auto"/>
    <w:pitch w:val="default"/>
    <w:sig w:usb0="80000287" w:usb1="2ACF3C50" w:usb2="00000016" w:usb3="00000000" w:csb0="0004001F" w:csb1="00000000"/>
  </w:font>
  <w:font w:name="方正仿宋_GBK">
    <w:panose1 w:val="02000000000000000000"/>
    <w:charset w:val="86"/>
    <w:family w:val="script"/>
    <w:pitch w:val="default"/>
    <w:sig w:usb0="A00002BF" w:usb1="38CF7CFA" w:usb2="00082016" w:usb3="00000000" w:csb0="00040001" w:csb1="00000000"/>
    <w:embedRegular r:id="rId4" w:fontKey="{E6E5321A-8569-408B-9C41-F37250497FF9}"/>
  </w:font>
  <w:font w:name="仿宋_GB2312">
    <w:panose1 w:val="02010609030101010101"/>
    <w:charset w:val="86"/>
    <w:family w:val="modern"/>
    <w:pitch w:val="default"/>
    <w:sig w:usb0="00000001" w:usb1="080E0000" w:usb2="00000000" w:usb3="00000000" w:csb0="00040000" w:csb1="00000000"/>
    <w:embedRegular r:id="rId5" w:fontKey="{91370F3C-1238-44F5-BA3E-98721AC5D104}"/>
  </w:font>
  <w:font w:name="仿宋">
    <w:panose1 w:val="02010609060101010101"/>
    <w:charset w:val="86"/>
    <w:family w:val="auto"/>
    <w:pitch w:val="default"/>
    <w:sig w:usb0="800002BF" w:usb1="38CF7CFA" w:usb2="00000016" w:usb3="00000000" w:csb0="00040001" w:csb1="00000000"/>
    <w:embedRegular r:id="rId6" w:fontKey="{40CA4858-02B9-4126-87D3-22A17888EB3A}"/>
  </w:font>
  <w:font w:name="WPSEMBED2">
    <w:panose1 w:val="02000000000000000000"/>
    <w:charset w:val="86"/>
    <w:family w:val="auto"/>
    <w:pitch w:val="default"/>
    <w:sig w:usb0="A00002BF" w:usb1="38CF7CFA" w:usb2="00082016" w:usb3="00000000" w:csb0="00040001" w:csb1="00000000"/>
  </w:font>
  <w:font w:name="WPSEMBED3">
    <w:panose1 w:val="02000000000000000000"/>
    <w:charset w:val="86"/>
    <w:family w:val="auto"/>
    <w:pitch w:val="default"/>
    <w:sig w:usb0="A00002BF" w:usb1="38CF7CFA" w:usb2="00082016" w:usb3="00000000" w:csb0="00040001" w:csb1="00000000"/>
  </w:font>
  <w:font w:name="WPSEMBED4">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D11A1D"/>
    <w:rsid w:val="30093CDB"/>
    <w:rsid w:val="3D961C3E"/>
    <w:rsid w:val="424E7D2F"/>
    <w:rsid w:val="45C36283"/>
    <w:rsid w:val="5ACD361E"/>
    <w:rsid w:val="650B2959"/>
    <w:rsid w:val="6DF102D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4"/>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FollowedHyperlink"/>
    <w:basedOn w:val="10"/>
    <w:qFormat/>
    <w:uiPriority w:val="0"/>
    <w:rPr>
      <w:color w:val="00A7D8"/>
      <w:u w:val="none"/>
    </w:rPr>
  </w:style>
  <w:style w:type="character" w:styleId="13">
    <w:name w:val="Hyperlink"/>
    <w:basedOn w:val="10"/>
    <w:qFormat/>
    <w:uiPriority w:val="0"/>
    <w:rPr>
      <w:color w:val="444444"/>
      <w:u w:val="none"/>
    </w:rPr>
  </w:style>
  <w:style w:type="character" w:customStyle="1" w:styleId="14">
    <w:name w:val="批注框文本 Char"/>
    <w:link w:val="4"/>
    <w:qFormat/>
    <w:uiPriority w:val="0"/>
    <w:rPr>
      <w:kern w:val="2"/>
      <w:sz w:val="18"/>
      <w:szCs w:val="18"/>
    </w:rPr>
  </w:style>
  <w:style w:type="paragraph" w:customStyle="1" w:styleId="15">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7">
    <w:name w:val="Table Paragraph"/>
    <w:basedOn w:val="1"/>
    <w:qFormat/>
    <w:uiPriority w:val="1"/>
    <w:rPr>
      <w:rFonts w:ascii="宋体" w:hAnsi="宋体" w:eastAsia="宋体" w:cs="宋体"/>
      <w:lang w:val="zh-CN" w:eastAsia="zh-CN" w:bidi="zh-CN"/>
    </w:rPr>
  </w:style>
  <w:style w:type="paragraph" w:customStyle="1" w:styleId="18">
    <w:name w:val="正文+宋体"/>
    <w:basedOn w:val="1"/>
    <w:qFormat/>
    <w:uiPriority w:val="0"/>
  </w:style>
  <w:style w:type="paragraph" w:customStyle="1" w:styleId="19">
    <w:name w:val="段"/>
    <w:qFormat/>
    <w:uiPriority w:val="0"/>
    <w:pPr>
      <w:tabs>
        <w:tab w:val="center" w:pos="4201"/>
        <w:tab w:val="right" w:leader="dot" w:pos="9298"/>
      </w:tabs>
      <w:autoSpaceDE w:val="0"/>
      <w:autoSpaceDN w:val="0"/>
      <w:ind w:firstLine="42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5</Pages>
  <Words>1692</Words>
  <Characters>2058</Characters>
  <Lines>15</Lines>
  <Paragraphs>4</Paragraphs>
  <TotalTime>0</TotalTime>
  <ScaleCrop>false</ScaleCrop>
  <LinksUpToDate>false</LinksUpToDate>
  <CharactersWithSpaces>2108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2015-05-22T03:54:00Z</dcterms:created>
  <dc:creator>cj_wong</dc:creator>
  <cp:lastModifiedBy>杰克</cp:lastModifiedBy>
  <cp:lastPrinted>2020-01-09T02:23:00Z</cp:lastPrinted>
  <dcterms:modified xsi:type="dcterms:W3CDTF">2026-04-08T01:17:52Z</dcterms:modified>
  <dc:title>XXXX年第X批风险监测实施方案</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SaveFontToCloudKey">
    <vt:lpwstr>559332025_btnclosed</vt:lpwstr>
  </property>
  <property fmtid="{D5CDD505-2E9C-101B-9397-08002B2CF9AE}" pid="4" name="ICV">
    <vt:lpwstr>7D79A938F824FA21E9FF94671F741B47_33</vt:lpwstr>
  </property>
  <property fmtid="{D5CDD505-2E9C-101B-9397-08002B2CF9AE}" pid="5" name="KSOTemplateDocerSaveRecord">
    <vt:lpwstr>eyJoZGlkIjoiMTJkYzhjY2U0MjBkODY3NjJkMGIyYTQ0MzY3ODNhMDUiLCJ1c2VySWQiOiIyNjYzODU4MDgifQ==</vt:lpwstr>
  </property>
</Properties>
</file>